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4A0" w:firstRow="1" w:lastRow="0" w:firstColumn="1" w:lastColumn="0" w:noHBand="0" w:noVBand="1"/>
      </w:tblPr>
      <w:tblGrid>
        <w:gridCol w:w="6940"/>
        <w:gridCol w:w="1842"/>
      </w:tblGrid>
      <w:tr w:rsidR="006034DC" w14:paraId="645C1F56" w14:textId="77777777">
        <w:trPr>
          <w:trHeight w:val="852"/>
          <w:jc w:val="center"/>
        </w:trPr>
        <w:tc>
          <w:tcPr>
            <w:tcW w:w="6940" w:type="dxa"/>
            <w:vMerge w:val="restart"/>
            <w:tcBorders>
              <w:right w:val="single" w:sz="4" w:space="0" w:color="auto"/>
            </w:tcBorders>
          </w:tcPr>
          <w:p w14:paraId="21F872E8" w14:textId="77777777" w:rsidR="006034DC" w:rsidRDefault="00551235">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en-IN" w:eastAsia="en-IN"/>
              </w:rPr>
              <w:drawing>
                <wp:inline distT="0" distB="0" distL="0" distR="0" wp14:anchorId="51889321" wp14:editId="7F81304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40080" cy="373380"/>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535CE5CD" w14:textId="77777777" w:rsidR="006034DC" w:rsidRDefault="00551235">
            <w:pPr>
              <w:tabs>
                <w:tab w:val="left" w:pos="-108"/>
              </w:tabs>
              <w:ind w:left="-108"/>
              <w:rPr>
                <w:rFonts w:cs="Arial"/>
                <w:b/>
                <w:bCs/>
                <w:i/>
                <w:iCs/>
                <w:color w:val="000066"/>
                <w:sz w:val="22"/>
                <w:szCs w:val="22"/>
                <w:lang w:eastAsia="it-IT"/>
              </w:rPr>
            </w:pPr>
            <w:r>
              <w:rPr>
                <w:rFonts w:cs="Arial"/>
                <w:b/>
                <w:bCs/>
                <w:i/>
                <w:iCs/>
                <w:color w:val="000066"/>
                <w:sz w:val="22"/>
                <w:szCs w:val="22"/>
                <w:lang w:eastAsia="it-IT"/>
              </w:rPr>
              <w:t>VOL.    , 2023</w:t>
            </w:r>
          </w:p>
        </w:tc>
        <w:tc>
          <w:tcPr>
            <w:tcW w:w="1842" w:type="dxa"/>
            <w:tcBorders>
              <w:left w:val="single" w:sz="4" w:space="0" w:color="auto"/>
              <w:bottom w:val="nil"/>
              <w:right w:val="single" w:sz="4" w:space="0" w:color="auto"/>
            </w:tcBorders>
          </w:tcPr>
          <w:p w14:paraId="2DE8DA2B" w14:textId="77777777" w:rsidR="006034DC" w:rsidRDefault="00551235">
            <w:pPr>
              <w:spacing w:line="140" w:lineRule="atLeast"/>
              <w:jc w:val="right"/>
              <w:rPr>
                <w:rFonts w:cs="Arial"/>
                <w:sz w:val="14"/>
                <w:szCs w:val="14"/>
              </w:rPr>
            </w:pPr>
            <w:r>
              <w:rPr>
                <w:rFonts w:cs="Arial"/>
                <w:sz w:val="14"/>
                <w:szCs w:val="14"/>
              </w:rPr>
              <w:t>A publication of</w:t>
            </w:r>
          </w:p>
          <w:p w14:paraId="59065E4A" w14:textId="77777777" w:rsidR="006034DC" w:rsidRDefault="00551235">
            <w:pPr>
              <w:jc w:val="right"/>
            </w:pPr>
            <w:r>
              <w:rPr>
                <w:noProof/>
                <w:lang w:val="en-IN" w:eastAsia="en-IN"/>
              </w:rPr>
              <w:drawing>
                <wp:inline distT="0" distB="0" distL="0" distR="0" wp14:anchorId="1A260516" wp14:editId="3F9DE90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70560" cy="358140"/>
                          </a:xfrm>
                          <a:prstGeom prst="rect">
                            <a:avLst/>
                          </a:prstGeom>
                          <a:noFill/>
                          <a:ln>
                            <a:noFill/>
                          </a:ln>
                        </pic:spPr>
                      </pic:pic>
                    </a:graphicData>
                  </a:graphic>
                </wp:inline>
              </w:drawing>
            </w:r>
          </w:p>
        </w:tc>
      </w:tr>
      <w:tr w:rsidR="006034DC" w14:paraId="57FAE884" w14:textId="77777777">
        <w:trPr>
          <w:trHeight w:val="567"/>
          <w:jc w:val="center"/>
        </w:trPr>
        <w:tc>
          <w:tcPr>
            <w:tcW w:w="6940" w:type="dxa"/>
            <w:vMerge/>
            <w:tcBorders>
              <w:right w:val="single" w:sz="4" w:space="0" w:color="auto"/>
            </w:tcBorders>
          </w:tcPr>
          <w:p w14:paraId="3D2B1A02" w14:textId="77777777" w:rsidR="006034DC" w:rsidRDefault="006034DC">
            <w:pPr>
              <w:tabs>
                <w:tab w:val="left" w:pos="-108"/>
              </w:tabs>
            </w:pPr>
          </w:p>
        </w:tc>
        <w:tc>
          <w:tcPr>
            <w:tcW w:w="1842" w:type="dxa"/>
            <w:tcBorders>
              <w:left w:val="single" w:sz="4" w:space="0" w:color="auto"/>
              <w:bottom w:val="nil"/>
              <w:right w:val="single" w:sz="4" w:space="0" w:color="auto"/>
            </w:tcBorders>
          </w:tcPr>
          <w:p w14:paraId="39918A8E" w14:textId="77777777" w:rsidR="006034DC" w:rsidRDefault="00551235">
            <w:pPr>
              <w:spacing w:line="140" w:lineRule="atLeast"/>
              <w:jc w:val="right"/>
              <w:rPr>
                <w:rFonts w:cs="Arial"/>
                <w:sz w:val="14"/>
                <w:szCs w:val="14"/>
              </w:rPr>
            </w:pPr>
            <w:r>
              <w:rPr>
                <w:rFonts w:cs="Arial"/>
                <w:sz w:val="14"/>
                <w:szCs w:val="14"/>
              </w:rPr>
              <w:t>The Italian Association</w:t>
            </w:r>
          </w:p>
          <w:p w14:paraId="1F7D3C89" w14:textId="77777777" w:rsidR="006034DC" w:rsidRDefault="00551235">
            <w:pPr>
              <w:spacing w:line="140" w:lineRule="atLeast"/>
              <w:jc w:val="right"/>
              <w:rPr>
                <w:rFonts w:cs="Arial"/>
                <w:sz w:val="14"/>
                <w:szCs w:val="14"/>
              </w:rPr>
            </w:pPr>
            <w:r>
              <w:rPr>
                <w:rFonts w:cs="Arial"/>
                <w:sz w:val="14"/>
                <w:szCs w:val="14"/>
              </w:rPr>
              <w:t>of Chemical Engineering</w:t>
            </w:r>
          </w:p>
          <w:p w14:paraId="22880A2B" w14:textId="77777777" w:rsidR="006034DC" w:rsidRDefault="00551235">
            <w:pPr>
              <w:spacing w:line="140" w:lineRule="atLeast"/>
              <w:jc w:val="right"/>
              <w:rPr>
                <w:rFonts w:cs="Arial"/>
                <w:sz w:val="13"/>
                <w:szCs w:val="13"/>
              </w:rPr>
            </w:pPr>
            <w:r>
              <w:rPr>
                <w:rFonts w:cs="Arial"/>
                <w:sz w:val="13"/>
                <w:szCs w:val="13"/>
              </w:rPr>
              <w:t>Online at www.cetjournal.it</w:t>
            </w:r>
          </w:p>
        </w:tc>
      </w:tr>
      <w:tr w:rsidR="006034DC" w14:paraId="7E2D6185" w14:textId="77777777">
        <w:trPr>
          <w:trHeight w:val="68"/>
          <w:jc w:val="center"/>
        </w:trPr>
        <w:tc>
          <w:tcPr>
            <w:tcW w:w="8782" w:type="dxa"/>
            <w:gridSpan w:val="2"/>
          </w:tcPr>
          <w:p w14:paraId="4FB6E213" w14:textId="77777777" w:rsidR="006034DC" w:rsidRDefault="00551235">
            <w:pPr>
              <w:ind w:left="-107"/>
              <w:outlineLvl w:val="2"/>
              <w:rPr>
                <w:rFonts w:ascii="Tahoma" w:hAnsi="Tahoma" w:cs="Tahoma"/>
                <w:bCs/>
                <w:color w:val="000000"/>
                <w:sz w:val="14"/>
                <w:szCs w:val="14"/>
                <w:lang w:eastAsia="it-IT"/>
              </w:rPr>
            </w:pPr>
            <w:r>
              <w:rPr>
                <w:rFonts w:ascii="Tahoma" w:hAnsi="Tahoma" w:cs="Tahoma"/>
                <w:iCs/>
                <w:color w:val="333333"/>
                <w:sz w:val="14"/>
                <w:szCs w:val="14"/>
                <w:lang w:eastAsia="it-IT"/>
              </w:rPr>
              <w:t>Guest Editor:</w:t>
            </w:r>
            <w:r>
              <w:rPr>
                <w:rFonts w:ascii="Tahoma" w:hAnsi="Tahoma" w:cs="Tahoma"/>
                <w:color w:val="000000"/>
                <w:sz w:val="14"/>
                <w:szCs w:val="14"/>
                <w:shd w:val="clear" w:color="auto" w:fill="FFFFFF"/>
              </w:rPr>
              <w:t xml:space="preserve"> </w:t>
            </w:r>
            <w:r>
              <w:rPr>
                <w:rFonts w:ascii="Tahoma" w:hAnsi="Tahoma" w:cs="Tahoma"/>
                <w:sz w:val="14"/>
                <w:szCs w:val="14"/>
              </w:rPr>
              <w:t>Sauro Pierucci</w:t>
            </w:r>
          </w:p>
          <w:p w14:paraId="360BCFBD" w14:textId="77777777" w:rsidR="006034DC" w:rsidRDefault="00551235">
            <w:pPr>
              <w:tabs>
                <w:tab w:val="left" w:pos="-108"/>
              </w:tabs>
              <w:spacing w:line="140" w:lineRule="atLeast"/>
              <w:ind w:left="-107"/>
              <w:jc w:val="left"/>
            </w:pPr>
            <w:r>
              <w:rPr>
                <w:rFonts w:ascii="Tahoma" w:hAnsi="Tahoma" w:cs="Tahoma"/>
                <w:iCs/>
                <w:color w:val="333333"/>
                <w:sz w:val="14"/>
                <w:szCs w:val="14"/>
                <w:lang w:eastAsia="it-IT"/>
              </w:rPr>
              <w:t>Copyright © 2023,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978-88-95608-98-3</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E031FAE" w14:textId="77777777" w:rsidR="006034DC" w:rsidRDefault="00551235">
      <w:pPr>
        <w:pStyle w:val="CETTitle"/>
      </w:pPr>
      <w:r>
        <w:t>Parametric optimization of re-refining of waste lubricating oil using bio-flocculant via Taguchi approach</w:t>
      </w:r>
    </w:p>
    <w:p w14:paraId="48E3337F" w14:textId="77777777" w:rsidR="006034DC" w:rsidRDefault="00551235">
      <w:pPr>
        <w:pStyle w:val="CETAuthors"/>
        <w:rPr>
          <w:vertAlign w:val="superscript"/>
        </w:rPr>
      </w:pPr>
      <w:r>
        <w:t>Sayantan Sarkar</w:t>
      </w:r>
      <w:r>
        <w:rPr>
          <w:vertAlign w:val="superscript"/>
        </w:rPr>
        <w:t>a</w:t>
      </w:r>
      <w:r>
        <w:t>, Deepshikha Datta</w:t>
      </w:r>
      <w:r>
        <w:rPr>
          <w:vertAlign w:val="superscript"/>
        </w:rPr>
        <w:t>b</w:t>
      </w:r>
      <w:r>
        <w:t>, K S Deepak</w:t>
      </w:r>
      <w:r>
        <w:rPr>
          <w:vertAlign w:val="superscript"/>
        </w:rPr>
        <w:t>c</w:t>
      </w:r>
      <w:r>
        <w:t>, Bimal Das*</w:t>
      </w:r>
      <w:r>
        <w:rPr>
          <w:vertAlign w:val="superscript"/>
        </w:rPr>
        <w:t>a</w:t>
      </w:r>
    </w:p>
    <w:p w14:paraId="4F3B6E72" w14:textId="77777777" w:rsidR="006034DC" w:rsidRDefault="00551235">
      <w:pPr>
        <w:pStyle w:val="CETAddress"/>
      </w:pPr>
      <w:r>
        <w:rPr>
          <w:vertAlign w:val="superscript"/>
        </w:rPr>
        <w:t>a</w:t>
      </w:r>
      <w:r>
        <w:t>Department of Chemical Engineering, National Institute of Technology Durgapur-713209</w:t>
      </w:r>
    </w:p>
    <w:p w14:paraId="3608E70D" w14:textId="77777777" w:rsidR="006034DC" w:rsidRDefault="00551235">
      <w:pPr>
        <w:pStyle w:val="CETAddress"/>
      </w:pPr>
      <w:r>
        <w:rPr>
          <w:vertAlign w:val="superscript"/>
        </w:rPr>
        <w:t>b</w:t>
      </w:r>
      <w:r>
        <w:t>Department of Chemistry, Brainware University, Barasat, Kolkata, India-700125</w:t>
      </w:r>
    </w:p>
    <w:p w14:paraId="0E94BD2F" w14:textId="77777777" w:rsidR="006034DC" w:rsidRDefault="00551235">
      <w:pPr>
        <w:pStyle w:val="CETAddress"/>
      </w:pPr>
      <w:r>
        <w:rPr>
          <w:vertAlign w:val="superscript"/>
        </w:rPr>
        <w:t>c</w:t>
      </w:r>
      <w:r>
        <w:t>Department of Mechanical Engineering, Birla Institute of Technology &amp; Science Pilani, Hyderabad, India- 500078</w:t>
      </w:r>
    </w:p>
    <w:p w14:paraId="7B2A7748" w14:textId="77777777" w:rsidR="006034DC" w:rsidRDefault="00551235">
      <w:pPr>
        <w:pStyle w:val="CETAddress"/>
      </w:pPr>
      <w:r>
        <w:t xml:space="preserve"> bimal.das@che.nitdgp.ac.in </w:t>
      </w:r>
    </w:p>
    <w:p w14:paraId="272F02BD" w14:textId="77777777" w:rsidR="006034DC" w:rsidRDefault="006034DC">
      <w:pPr>
        <w:pStyle w:val="CETBodytext"/>
        <w:rPr>
          <w:lang w:val="en-GB"/>
        </w:rPr>
      </w:pPr>
    </w:p>
    <w:p w14:paraId="5188D09F" w14:textId="77777777" w:rsidR="006034DC" w:rsidRDefault="00551235">
      <w:pPr>
        <w:pStyle w:val="CETBodytext"/>
        <w:tabs>
          <w:tab w:val="clear" w:pos="7100"/>
        </w:tabs>
        <w:spacing w:after="160" w:line="259" w:lineRule="auto"/>
        <w:rPr>
          <w:rStyle w:val="CETBodytextCarattere"/>
          <w:rFonts w:eastAsiaTheme="minorHAnsi" w:cs="Arial"/>
        </w:rPr>
      </w:pPr>
      <w:r>
        <w:rPr>
          <w:rStyle w:val="CETBodytextCarattere"/>
          <w:rFonts w:eastAsiaTheme="minorHAnsi" w:cs="Arial"/>
        </w:rPr>
        <w:t xml:space="preserve">Over the past few decades, recycling used lubricants have drawn much attention as a cleaner technique. </w:t>
      </w:r>
      <w:r>
        <w:rPr>
          <w:rFonts w:cs="Arial"/>
          <w:szCs w:val="18"/>
        </w:rPr>
        <w:t>The current study focuses on the fabrication and application of bio flocculant (sodium alginate) from brown algae (</w:t>
      </w:r>
      <w:r>
        <w:rPr>
          <w:rFonts w:cs="Arial"/>
          <w:i/>
          <w:iCs/>
          <w:szCs w:val="18"/>
        </w:rPr>
        <w:t>Sargassum Muticum</w:t>
      </w:r>
      <w:r>
        <w:rPr>
          <w:rFonts w:cs="Arial"/>
          <w:szCs w:val="18"/>
        </w:rPr>
        <w:t>)</w:t>
      </w:r>
      <w:r>
        <w:rPr>
          <w:rStyle w:val="CETBodytextCarattere"/>
          <w:rFonts w:eastAsiaTheme="minorHAnsi" w:cs="Arial"/>
        </w:rPr>
        <w:t xml:space="preserve"> for the refining of waste lubricating oil.</w:t>
      </w:r>
      <w:r>
        <w:rPr>
          <w:rFonts w:cs="Arial"/>
          <w:szCs w:val="18"/>
        </w:rPr>
        <w:t xml:space="preserve"> </w:t>
      </w:r>
      <w:r>
        <w:rPr>
          <w:rStyle w:val="CETBodytextCarattere"/>
          <w:rFonts w:eastAsiaTheme="minorHAnsi" w:cs="Arial"/>
        </w:rPr>
        <w:t xml:space="preserve">Further the work illustrates on the optimization of the four process parameters like </w:t>
      </w:r>
      <w:r>
        <w:rPr>
          <w:rStyle w:val="CETBodytextCarattere"/>
          <w:rFonts w:cs="Arial"/>
        </w:rPr>
        <w:t>refining time, refining temperature, solvent-to-waste</w:t>
      </w:r>
      <w:r>
        <w:rPr>
          <w:rStyle w:val="CETBodytextCarattere"/>
          <w:rFonts w:eastAsiaTheme="minorHAnsi" w:cs="Arial"/>
        </w:rPr>
        <w:t xml:space="preserve"> oil ratio</w:t>
      </w:r>
      <w:r>
        <w:rPr>
          <w:rStyle w:val="CETBodytextCarattere"/>
          <w:rFonts w:cs="Arial"/>
        </w:rPr>
        <w:t>, and flocculant dosage</w:t>
      </w:r>
      <w:r>
        <w:rPr>
          <w:rStyle w:val="CETBodytextCarattere"/>
          <w:rFonts w:eastAsiaTheme="minorHAnsi" w:cs="Arial"/>
        </w:rPr>
        <w:t xml:space="preserve"> at three different levels (low, intermediate and high) using </w:t>
      </w:r>
      <w:r>
        <w:rPr>
          <w:rStyle w:val="CETBodytextCarattere"/>
          <w:rFonts w:cs="Arial"/>
        </w:rPr>
        <w:t>Taguchi approach during the process of refining of waste lubricating oil by clean and environmental friendly extraction flocculation method.</w:t>
      </w:r>
      <w:r>
        <w:rPr>
          <w:rStyle w:val="CETBodytextCarattere"/>
          <w:rFonts w:eastAsiaTheme="minorHAnsi" w:cs="Arial"/>
        </w:rPr>
        <w:t xml:space="preserve"> The optimized parameters for maximization of the yield (91.31 %) were observed at </w:t>
      </w:r>
      <w:r>
        <w:rPr>
          <w:rStyle w:val="CETBodytextCarattere"/>
          <w:rFonts w:cs="Arial"/>
        </w:rPr>
        <w:t xml:space="preserve">refining time of 60 minutes, refining temperature of 80 </w:t>
      </w:r>
      <w:r>
        <w:rPr>
          <w:rStyle w:val="CETBodytextCarattere"/>
          <w:rFonts w:ascii="Cambria Math" w:hAnsi="Cambria Math" w:cs="Cambria Math"/>
        </w:rPr>
        <w:t>℃</w:t>
      </w:r>
      <w:r>
        <w:rPr>
          <w:rStyle w:val="CETBodytextCarattere"/>
          <w:rFonts w:cs="Arial"/>
        </w:rPr>
        <w:t>, a solvent-to-waste oil ratio of 3:1, and a flocculant dosage of 1 g/kg of solvent.</w:t>
      </w:r>
      <w:r>
        <w:rPr>
          <w:rStyle w:val="CETBodytextCarattere"/>
          <w:rFonts w:eastAsiaTheme="minorHAnsi" w:cs="Arial"/>
        </w:rPr>
        <w:t xml:space="preserve"> A good fit of the model could be achieved with a R</w:t>
      </w:r>
      <w:r>
        <w:rPr>
          <w:rStyle w:val="CETBodytextCarattere"/>
          <w:rFonts w:eastAsiaTheme="minorHAnsi" w:cs="Arial"/>
          <w:vertAlign w:val="superscript"/>
        </w:rPr>
        <w:t>2</w:t>
      </w:r>
      <w:r w:rsidR="00C95B3E">
        <w:rPr>
          <w:rStyle w:val="CETBodytextCarattere"/>
          <w:rFonts w:eastAsiaTheme="minorHAnsi" w:cs="Arial"/>
        </w:rPr>
        <w:t xml:space="preserve"> of 0.9938</w:t>
      </w:r>
      <w:r>
        <w:rPr>
          <w:rStyle w:val="CETBodytextCarattere"/>
          <w:rFonts w:eastAsiaTheme="minorHAnsi" w:cs="Arial"/>
        </w:rPr>
        <w:t xml:space="preserve"> and p value of 0.018. The re-refined lubricating oil had a flash point, pour point, kinematic viscosity@40 </w:t>
      </w:r>
      <w:r>
        <w:rPr>
          <w:rStyle w:val="CETBodytextCarattere"/>
          <w:rFonts w:ascii="Cambria Math" w:eastAsiaTheme="minorHAnsi" w:hAnsi="Cambria Math" w:cs="Cambria Math"/>
        </w:rPr>
        <w:t>℃</w:t>
      </w:r>
      <w:r>
        <w:rPr>
          <w:rStyle w:val="CETBodytextCarattere"/>
          <w:rFonts w:eastAsiaTheme="minorHAnsi" w:cs="Arial"/>
        </w:rPr>
        <w:t xml:space="preserve"> and 100 </w:t>
      </w:r>
      <w:r>
        <w:rPr>
          <w:rStyle w:val="CETBodytextCarattere"/>
          <w:rFonts w:ascii="Cambria Math" w:eastAsiaTheme="minorHAnsi" w:hAnsi="Cambria Math" w:cs="Cambria Math"/>
        </w:rPr>
        <w:t>℃</w:t>
      </w:r>
      <w:r>
        <w:rPr>
          <w:rStyle w:val="CETBodytextCarattere"/>
          <w:rFonts w:eastAsiaTheme="minorHAnsi" w:cs="Arial"/>
        </w:rPr>
        <w:t xml:space="preserve"> of 234 </w:t>
      </w:r>
      <w:r>
        <w:rPr>
          <w:rStyle w:val="CETBodytextCarattere"/>
          <w:rFonts w:ascii="Cambria Math" w:eastAsiaTheme="minorHAnsi" w:hAnsi="Cambria Math" w:cs="Cambria Math"/>
        </w:rPr>
        <w:t>℃</w:t>
      </w:r>
      <w:r>
        <w:rPr>
          <w:rStyle w:val="CETBodytextCarattere"/>
          <w:rFonts w:eastAsiaTheme="minorHAnsi" w:cs="Arial"/>
        </w:rPr>
        <w:t xml:space="preserve">, -33 </w:t>
      </w:r>
      <w:r>
        <w:rPr>
          <w:rStyle w:val="CETBodytextCarattere"/>
          <w:rFonts w:ascii="Cambria Math" w:eastAsiaTheme="minorHAnsi" w:hAnsi="Cambria Math" w:cs="Cambria Math"/>
        </w:rPr>
        <w:t>℃</w:t>
      </w:r>
      <w:r>
        <w:rPr>
          <w:rStyle w:val="CETBodytextCarattere"/>
          <w:rFonts w:eastAsiaTheme="minorHAnsi" w:cs="Arial"/>
        </w:rPr>
        <w:t>,155.21 cSt and 17.11 cSt which are comparable to the virgin lubricating oil and hence refined oil can remarkably be used for specific purpose in automotive engine after addition of requisite amount of additives.</w:t>
      </w:r>
    </w:p>
    <w:p w14:paraId="08B833F0" w14:textId="77777777" w:rsidR="006034DC" w:rsidRDefault="00551235">
      <w:pPr>
        <w:pStyle w:val="CETHeading1"/>
        <w:rPr>
          <w:lang w:val="en-GB"/>
        </w:rPr>
      </w:pPr>
      <w:r>
        <w:rPr>
          <w:lang w:val="en-GB"/>
        </w:rPr>
        <w:t>Introduction</w:t>
      </w:r>
    </w:p>
    <w:p w14:paraId="1DAD3F4D" w14:textId="4A42AB97" w:rsidR="006034DC" w:rsidRDefault="00551235">
      <w:r>
        <w:t xml:space="preserve">Lubricating oil, during its prolonged uses diminishes its quality with time due to formation of  oxidative products, degradation of additives, contamination with water, gasoline or metals from metallic surfaces, and carbon particles  </w:t>
      </w:r>
      <w:r>
        <w:fldChar w:fldCharType="begin" w:fldLock="1"/>
      </w:r>
      <w:r>
        <w:instrText>ADDIN CSL_CITATION {"citationItems":[{"id":"ITEM-1","itemData":{"ISSN":"18196608","abstract":"The paper reviews the re-refining of used automotive engine lubricating oils to obtain lube stock with the right characteristics and additives' response suitable for blending automotive engine lubricating oil. The caustic treatment and subsequent vacuum distillation method for re-refining of used automotive gasoline engine lubricating oils was used in this investigation. A lube stock with the appropriate properties and characteristics including additive response for the formulation of SAE 40 grade lubricating oil suitable for an automotive gasoline engine was obtained from a blend of rerefined used lubricating oil and virgin bright lube stock in the ratio 3:1. The lube stock had a viscosity index (VI) of 105.","author":[{"dropping-particle":"","family":"Mensah-Brown","given":"Henry","non-dropping-particle":"","parse-names":false,"suffix":""}],"container-title":"ARPN Journal of Engineering and Applied Sciences","id":"ITEM-1","issue":"2","issued":{"date-parts":[["2015"]]},"page":"797-801","title":"Re-refining and recycling of used lubricating oil: An option for foreign exchange and natural resource conservation in Ghana","type":"article-journal","volume":"10"},"uris":["http://www.mendeley.com/documents/?uuid=aa876532-be7e-49e7-98f3-9518527efa71"]}],"mendeley":{"formattedCitation":"(Mensah-Brown, 2015)","plainTextFormattedCitation":"(Mensah-Brown, 2015)","previouslyFormattedCitation":"(Mensah-Brown, 2015)"},"properties":{"noteIndex":0},"schema":"https://github.com/citation-style-language/schema/raw/master/csl-citation.json"}</w:instrText>
      </w:r>
      <w:r>
        <w:fldChar w:fldCharType="separate"/>
      </w:r>
      <w:r>
        <w:t>(Mensah-Brown, 2015)</w:t>
      </w:r>
      <w:r>
        <w:fldChar w:fldCharType="end"/>
      </w:r>
      <w:r>
        <w:t xml:space="preserve">. The indiscriminate disposal of waste lubricating oil into the environment may pose a major threat to the ecology </w:t>
      </w:r>
      <w:r>
        <w:fldChar w:fldCharType="begin" w:fldLock="1"/>
      </w:r>
      <w:r>
        <w:instrText>ADDIN CSL_CITATION {"citationItems":[{"id":"ITEM-1","itemData":{"DOI":"10.1016/j.matpr.2021.08.078","ISSN":"22147853","abstract":"The rapid growth of population with increased facilities for comfort nowadays leads to a drastic depletion of natural resources. The present work emphasizes the re-refining process of waste lubricating oil by the solvent-extraction flocculation process. Re-refining is considered by many as a preferred option in conserving resources, minimizing waste, and reducing environmental hazards to a great extent. The effect of various parameters like refining time, refining temperature, solvent to waste oil ratio, flocculant dosage, adsorbent to distilled oil ratio has been elaborately studied, and the optimum yield percent was obtained at 33 °C of refining temperature, 20 min of refining time with a solvent to waste oil ratio of 5:1 (w/w). Various solvents like iso-butanol and n-butanol were used, and iso-butanol was found to produce a higher yield of 72%, which is 2% higher than the solvent n-butanol. Calcium hydroxide was used as a flocculant, and a concentration of 2 kg of flocculant per kg of solvent was optimum. The flashpoint, ash content, and viscosity index of re-refined oil were 210 °C, 0.25 g, and 175, respectively, comparable to virgin lube oil. The purity and the existence of oxidation products were elaborately analyzed by FTIR and GC-MS analysis. Thus, the refined oil obtained can effectively mitigate the ever-growing oil crisis and help create a healthy and pollution-free environment.","author":[{"dropping-particle":"","family":"Sarkar","given":"Sayantan","non-dropping-particle":"","parse-names":false,"suffix":""},{"dropping-particle":"","family":"Datta","given":"Deepshikha","non-dropping-particle":"","parse-names":false,"suffix":""},{"dropping-particle":"","family":"Das","given":"Bimal","non-dropping-particle":"","parse-names":false,"suffix":""}],"container-title":"Materials Today: Proceedings","id":"ITEM-1","issued":{"date-parts":[["2022"]]},"page":"1891-1898","publisher":"Elsevier Ltd","title":"Advance recovery approach for efficient recovery of waste lubricating oil by different material formulations","type":"article-journal","volume":"49"},"uris":["http://www.mendeley.com/documents/?uuid=79c4bedc-404f-4940-b7eb-5f7d3f983b11"]}],"mendeley":{"formattedCitation":"(Sarkar et al., 2022)","plainTextFormattedCitation":"(Sarkar et al., 2022)","previouslyFormattedCitation":"(Sarkar, Datta and Das, 2022)"},"properties":{"noteIndex":0},"schema":"https://github.com/citation-style-language/schema/raw/master/csl-citation.json"}</w:instrText>
      </w:r>
      <w:r>
        <w:fldChar w:fldCharType="separate"/>
      </w:r>
      <w:r>
        <w:t>(Sarkar et al., 2022)</w:t>
      </w:r>
      <w:r>
        <w:fldChar w:fldCharType="end"/>
      </w:r>
      <w:r>
        <w:t xml:space="preserve">  offering a high risk of damaging the soils, water and air. The negative impacts of inappropriately used oil management on the environment and human health </w:t>
      </w:r>
      <w:r>
        <w:fldChar w:fldCharType="begin" w:fldLock="1"/>
      </w:r>
      <w:r>
        <w:instrText>ADDIN CSL_CITATION {"citationItems":[{"id":"ITEM-1","itemData":{"DOI":"10.1016/J.RESCONREC.2017.07.010","ISSN":"0921-3449","abstract":"Used lubricating oils (ULOs) represent a serious problem for environment and human health due to the presence of highly harmful contaminants, being mandatory an adequate management based on efficient collection systems and treatment processes. Within this work, the environmental and energy performance of a re-refining process for ULOs upgrading is evaluated. The proposed regeneration process is based on the extraction of organic contaminants with liquid propane followed by a cascade of three consecutive distillation stages (two under atmospheric conditions and an additional one under vacuum). This process operates at plan scale in Spain recovering base oil for reuse. All the operations were simulated using Aspen Plus 8.6 and environmental issues and performance was determined by LCA, considering global warming potential, cumulative energy demand, acidification and toxicity as impacts categories. Results show that the whole upgrading process generates up to 363 kg-eq CO2/tonne base oil (mainly associated with distillations heating requirements) and it consumes 6144 MJ/tonne base oil. Vacuum distillation is the most important contributor to acidification and toxicity, due to heating and electricity requirements of the column. These parameters were compared for upgraded base oil and refinery lubricant oil, and results suggested that great environmental impacts can be reduced by recycling oil. Finally, different LCA scenarios were considered by partitioning impacts among base oil and plant by-products, using mass flow and economic criteria. Regardless the impacts allocation method, results clearly indicate that manufacturing base oil by ULOs recycling is a more environmental friendly option than the conventional refinery process.","author":[{"dropping-particle":"","family":"Botas","given":"Juan A.","non-dropping-particle":"","parse-names":false,"suffix":""},{"dropping-particle":"","family":"Moreno","given":"Jovita","non-dropping-particle":"","parse-names":false,"suffix":""},{"dropping-particle":"","family":"Espada","given":"Juan J.","non-dropping-particle":"","parse-names":false,"suffix":""},{"dropping-particle":"","family":"Serrano","given":"David P.","non-dropping-particle":"","parse-names":false,"suffix":""},{"dropping-particle":"","family":"Dufour","given":"Javier","non-dropping-particle":"","parse-names":false,"suffix":""}],"container-title":"Resources, Conservation and Recycling","id":"ITEM-1","issued":{"date-parts":[["2017","10","1"]]},"page":"315-323","publisher":"Elsevier","title":"Recycling of used lubricating oil: Evaluation of environmental and energy performance by LCA","type":"article-journal","volume":"125"},"uris":["http://www.mendeley.com/documents/?uuid=342c4a38-dd9f-31da-81a0-70f29310f255"]}],"mendeley":{"formattedCitation":"(Botas &lt;i&gt;et al.&lt;/i&gt;, 2017)","plainTextFormattedCitation":"(Botas et al., 2017)","previouslyFormattedCitation":"(Botas &lt;i&gt;et al.&lt;/i&gt;, 2017)"},"properties":{"noteIndex":0},"schema":"https://github.com/citation-style-language/schema/raw/master/csl-citation.json"}</w:instrText>
      </w:r>
      <w:r>
        <w:fldChar w:fldCharType="separate"/>
      </w:r>
      <w:r>
        <w:t>(Botas et al., 2017)</w:t>
      </w:r>
      <w:r>
        <w:fldChar w:fldCharType="end"/>
      </w:r>
      <w:r>
        <w:t xml:space="preserve"> necessitate investigations for regeneration of waste lubricating oil to produce new lubricants, promoting a 90% decrease in the environmental problems that can shoot up from the manufacturing of petroleum-derived products </w:t>
      </w:r>
      <w:r>
        <w:fldChar w:fldCharType="begin" w:fldLock="1"/>
      </w:r>
      <w:r>
        <w:instrText>ADDIN CSL_CITATION {"citationItems":[{"id":"ITEM-1","itemData":{"DOI":"10.1016/J.RESCONREC.2017.07.010","ISSN":"0921-3449","abstract":"Used lubricating oils (ULOs) represent a serious problem for environment and human health due to the presence of highly harmful contaminants, being mandatory an adequate management based on efficient collection systems and treatment processes. Within this work, the environmental and energy performance of a re-refining process for ULOs upgrading is evaluated. The proposed regeneration process is based on the extraction of organic contaminants with liquid propane followed by a cascade of three consecutive distillation stages (two under atmospheric conditions and an additional one under vacuum). This process operates at plan scale in Spain recovering base oil for reuse. All the operations were simulated using Aspen Plus 8.6 and environmental issues and performance was determined by LCA, considering global warming potential, cumulative energy demand, acidification and toxicity as impacts categories. Results show that the whole upgrading process generates up to 363 kg-eq CO2/tonne base oil (mainly associated with distillations heating requirements) and it consumes 6144 MJ/tonne base oil. Vacuum distillation is the most important contributor to acidification and toxicity, due to heating and electricity requirements of the column. These parameters were compared for upgraded base oil and refinery lubricant oil, and results suggested that great environmental impacts can be reduced by recycling oil. Finally, different LCA scenarios were considered by partitioning impacts among base oil and plant by-products, using mass flow and economic criteria. Regardless the impacts allocation method, results clearly indicate that manufacturing base oil by ULOs recycling is a more environmental friendly option than the conventional refinery process.","author":[{"dropping-particle":"","family":"Botas","given":"Juan A.","non-dropping-particle":"","parse-names":false,"suffix":""},{"dropping-particle":"","family":"Moreno","given":"Jovita","non-dropping-particle":"","parse-names":false,"suffix":""},{"dropping-particle":"","family":"Espada","given":"Juan J.","non-dropping-particle":"","parse-names":false,"suffix":""},{"dropping-particle":"","family":"Serrano","given":"David P.","non-dropping-particle":"","parse-names":false,"suffix":""},{"dropping-particle":"","family":"Dufour","given":"Javier","non-dropping-particle":"","parse-names":false,"suffix":""}],"container-title":"Resources, Conservation and Recycling","id":"ITEM-1","issued":{"date-parts":[["2017","10","1"]]},"page":"315-323","publisher":"Elsevier","title":"Recycling of used lubricating oil: Evaluation of environmental and energy performance by LCA","type":"article-journal","volume":"125"},"uris":["http://www.mendeley.com/documents/?uuid=342c4a38-dd9f-31da-81a0-70f29310f255"]}],"mendeley":{"formattedCitation":"(Botas &lt;i&gt;et al.&lt;/i&gt;, 2017)","plainTextFormattedCitation":"(Botas et al., 2017)","previouslyFormattedCitation":"(Botas &lt;i&gt;et al.&lt;/i&gt;, 2017)"},"properties":{"noteIndex":0},"schema":"https://github.com/citation-style-language/schema/raw/master/csl-citation.json"}</w:instrText>
      </w:r>
      <w:r>
        <w:fldChar w:fldCharType="separate"/>
      </w:r>
      <w:r>
        <w:t>(Botas et al., 2017)</w:t>
      </w:r>
      <w:r>
        <w:fldChar w:fldCharType="end"/>
      </w:r>
      <w:r>
        <w:t xml:space="preserve">. Various scientific investigations across the globe have been carried out over the decades for waste oil recycling as a mitigative measures of waste management. Extraction flocculation technology, is one of the most suitable green technology for re-refining of waste lubricating oil  considering today's environmental feasibility aspects, as it is independent of feedstock nature and produces less harmful and reusable </w:t>
      </w:r>
      <w:r w:rsidR="001116BB">
        <w:t>by-products</w:t>
      </w:r>
      <w:r>
        <w:t xml:space="preserve"> </w:t>
      </w:r>
      <w:r>
        <w:fldChar w:fldCharType="begin" w:fldLock="1"/>
      </w:r>
      <w:r>
        <w:instrText>ADDIN CSL_CITATION {"citationItems":[{"id":"ITEM-1","itemData":{"DOI":"10.1016/j.ejpe.2017.05.010","ISSN":"20902468","abstract":"The refining of lubricating oils from waste lubricating oil was examined utilizing a novel blend of solvent extraction and activated alumina adsorbent. The activity of these solvent extraction blends {toluene, butanol and methanol (A)}, {toluene, butanol and ethanol (B)} and {toluene, butanol and isopropanol (C)} was evaluated experimentally, oil to solvent proportions from 1:1 to 1:3 were analyzed for mixture blend (C). The results confirm solvent mixture (A) gave good efficiency with the highest percent sludge removal. The maximum percent of sludge removal improves with the increase of solvent to oil ratios. The physical properties of the recycle oil were measured. The results show the change in the properties of recycling oil and have good efficiency.","author":[{"dropping-particle":"","family":"Osman","given":"Doaa I.","non-dropping-particle":"","parse-names":false,"suffix":""},{"dropping-particle":"","family":"Attia","given":"Sayed K.","non-dropping-particle":"","parse-names":false,"suffix":""},{"dropping-particle":"","family":"Taman","given":"Afaf R.","non-dropping-particle":"","parse-names":false,"suffix":""}],"container-title":"Egyptian Journal of Petroleum","id":"ITEM-1","issue":"2","issued":{"date-parts":[["2018"]]},"page":"221-225","publisher":"Egyptian Petroleum Research Institute","title":"Recycling of used engine oil by different solvent","type":"article-journal","volume":"27"},"uris":["http://www.mendeley.com/documents/?uuid=9ffee854-9f9b-43d6-9d57-5379d8fe5744"]}],"mendeley":{"formattedCitation":"(Osman, Attia and Taman, 2018)","plainTextFormattedCitation":"(Osman, Attia and Taman, 2018)","previouslyFormattedCitation":"(Osman, Attia and Taman, 2018)"},"properties":{"noteIndex":0},"schema":"https://github.com/citation-style-language/schema/raw/master/csl-citation.json"}</w:instrText>
      </w:r>
      <w:r>
        <w:fldChar w:fldCharType="separate"/>
      </w:r>
      <w:r>
        <w:t>(Osman, Attia and Taman, 2018)</w:t>
      </w:r>
      <w:r>
        <w:fldChar w:fldCharType="end"/>
      </w:r>
      <w:r>
        <w:t xml:space="preserve">. Synthetic or organic flocculants can attain good efficiency, but it would have a high risk of difficult bio-degradability </w:t>
      </w:r>
      <w:r>
        <w:fldChar w:fldCharType="begin" w:fldLock="1"/>
      </w:r>
      <w:r>
        <w:instrText>ADDIN CSL_CITATION {"citationItems":[{"id":"ITEM-1","itemData":{"DOI":"10.1016/j.carbpol.2018.01.068","ISSN":"01448617","author":[{"dropping-particle":"","family":"Chen","given":"Xiaoqian","non-dropping-particle":"","parse-names":false,"suffix":""},{"dropping-particle":"","family":"Si","given":"Chuanling","non-dropping-particle":"","parse-names":false,"suffix":""},{"dropping-particle":"","family":"Fatehi","given":"Pedram","non-dropping-particle":"","parse-names":false,"suffix":""}],"container-title":"Carbohydrate Polymers","id":"ITEM-1","issued":{"date-parts":[["2018","4","15"]]},"page":"358-366","publisher":"Elsevier","title":"Cationic xylan- (2-methacryloyloxyethyl trimethyl ammonium chloride) polymer as a flocculant for pulping wastewater","type":"article-journal","volume":"186"},"uris":["http://www.mendeley.com/documents/?uuid=8c647cde-28c3-37d8-8467-dfe74bf10a9b"]}],"mendeley":{"formattedCitation":"(Chen, Si and Fatehi, 2018)","plainTextFormattedCitation":"(Chen, Si and Fatehi, 2018)","previouslyFormattedCitation":"(Chen, Si and Fatehi, 2018)"},"properties":{"noteIndex":0},"schema":"https://github.com/citation-style-language/schema/raw/master/csl-citation.json"}</w:instrText>
      </w:r>
      <w:r>
        <w:fldChar w:fldCharType="separate"/>
      </w:r>
      <w:r>
        <w:t>(Chen, Si and Fatehi, 2018)</w:t>
      </w:r>
      <w:r>
        <w:fldChar w:fldCharType="end"/>
      </w:r>
      <w:r>
        <w:t xml:space="preserve">. Biopolymer-based flocculants are referred to the long chain molecules produced by the plant or living organism, and it has many properties such as, wide source, easy modification, environmental friendliness, low dosage required for good flocculation efficiency </w:t>
      </w:r>
      <w:r>
        <w:fldChar w:fldCharType="begin" w:fldLock="1"/>
      </w:r>
      <w:r>
        <w:instrText>ADDIN CSL_CITATION {"citationItems":[{"id":"ITEM-1","itemData":{"DOI":"10.1016/j.eurpolymj.2008.12.027","ISSN":"00143057","abstract":"Chitosan is a partially deacetylated polymer obtained from the alkaline deacetylation of chitin, a biopolymer extracted from shellfish sources. Chitosan exhibits a variety of physico-chemical and biological properties resulting in numerous applications in fields such as cosmetics, biomedical engineering, pharmaceuticals, ophthalmology, biotechnology, agriculture, textiles, oenology, food processing and nutrition. This amino-biopolymer has also received a great deal of attention in the last decades in water treatment processes for the removal of particulate and dissolved contaminants. In particular, the development of chitosan-based materials as useful coagulants and flocculants is an expanding field in the area of water and wastewater treatment. Their coagulation and flocculation properties can be used to remove particulate inorganic or organic suspensions, and also dissolved organic substances. This paper gives an overview of the main results obtained in the treatment of various suspensions and solutions. The effects of the characteristics of the chitosan used and the conditions in solution on the coagulation/flocculation performance are also discussed. © 2008 Elsevier Ltd. All rights reserved.","author":[{"dropping-particle":"","family":"Renault","given":"F.","non-dropping-particle":"","parse-names":false,"suffix":""},{"dropping-particle":"","family":"Sancey","given":"B.","non-dropping-particle":"","parse-names":false,"suffix":""},{"dropping-particle":"","family":"Badot","given":"P. M.","non-dropping-particle":"","parse-names":false,"suffix":""},{"dropping-particle":"","family":"Crini","given":"G.","non-dropping-particle":"","parse-names":false,"suffix":""}],"container-title":"European Polymer Journal","id":"ITEM-1","issue":"5","issued":{"date-parts":[["2009"]]},"page":"1337-1348","publisher":"Elsevier Ltd","title":"Chitosan for coagulation/flocculation processes - An eco-friendly approach","type":"article-journal","volume":"45"},"uris":["http://www.mendeley.com/documents/?uuid=dd27a13e-e435-455b-a7dd-aca791175e7f"]}],"mendeley":{"formattedCitation":"(Renault &lt;i&gt;et al.&lt;/i&gt;, 2009)","plainTextFormattedCitation":"(Renault et al., 2009)","previouslyFormattedCitation":"(Renault &lt;i&gt;et al.&lt;/i&gt;, 2009)"},"properties":{"noteIndex":0},"schema":"https://github.com/citation-style-language/schema/raw/master/csl-citation.json"}</w:instrText>
      </w:r>
      <w:r>
        <w:fldChar w:fldCharType="separate"/>
      </w:r>
      <w:r>
        <w:t>(Renault et al., 2009)</w:t>
      </w:r>
      <w:r>
        <w:fldChar w:fldCharType="end"/>
      </w:r>
      <w:r>
        <w:t xml:space="preserve">. The development of the seaweed-based bio flocculant is environmentally benign, biodegradable, and biocompatible </w:t>
      </w:r>
      <w:r>
        <w:fldChar w:fldCharType="begin" w:fldLock="1"/>
      </w:r>
      <w:r>
        <w:instrText>ADDIN CSL_CITATION {"citationItems":[{"id":"ITEM-1","itemData":{"DOI":"10.1016/J.HBRCJ.2015.06.003","ISSN":"1687-4048","abstract":"In this study, Baker’s yeast strain (Saccharomyces cerevisiae) biomass was immobilized in alginate extract 3% forming Biomass/Polymer Matrices Beads (BPMB). These beads were investigated for chromium biosorption from aqueous solution. Factors such as solution pH, contact times, temperature values, stirring rates, BPMB dosages and initial chromium ions concentrations were experimentally tested using repeated-batch process to determine the sorption capacity for chromium (VI) ions. Batch experiments were conducted at pH range from 1.5 to 7.5. The optimum pH value was 3.5 for direct chromium removal. The effect of chromium concentration was studied using different concentrations from 200 to 1000ppm. Freundlich’s isothermal model showed better representation of data than Langmuir’s isothermal model with correlation coefficient 0.922. The maximum biosorption capacity of chromium was found to be 154mgg−1 at initial concentration 200ppm under optimum conditions. At the end of the experiments, BPMB were investigated for chromium biosorption from tannery effluent sample. Results showed decrease in chromium concentration up to 85%. The availability of recycling of the BPMB was also studied for three subsequent cycles. The surface sequestration of metal ions by BPMB was characterized before and after metal binding using a scanning electron microscope (SEM) equipped with an energy dispersive X-ray analysis (EDXA) and FTIR spectroscopy in order to determine the mechanisms of chromium biosorption.","author":[{"dropping-particle":"","family":"Mahmoud","given":"M.S.","non-dropping-particle":"","parse-names":false,"suffix":""},{"dropping-particle":"","family":"Mohamed","given":"Samah A.","non-dropping-particle":"","parse-names":false,"suffix":""}],"container-title":"HBRC Journal","id":"ITEM-1","issue":"3","issued":{"date-parts":[["2017","12","1"]]},"page":"245-254","publisher":"No longer published by Elsevier","title":"Calcium alginate as an eco-friendly supporting material for Baker’s yeast strain in chromium bioremediation","type":"article-journal","volume":"13"},"uris":["http://www.mendeley.com/documents/?uuid=21f535ea-5995-39ff-83f7-f5b617ff4e6d"]}],"mendeley":{"formattedCitation":"(Mahmoud and Mohamed, 2017)","plainTextFormattedCitation":"(Mahmoud and Mohamed, 2017)","previouslyFormattedCitation":"(Mahmoud and Mohamed, 2017)"},"properties":{"noteIndex":0},"schema":"https://github.com/citation-style-language/schema/raw/master/csl-citation.json"}</w:instrText>
      </w:r>
      <w:r>
        <w:fldChar w:fldCharType="separate"/>
      </w:r>
      <w:r>
        <w:t>(Mahmoud and Mohamed, 2017)</w:t>
      </w:r>
      <w:r>
        <w:fldChar w:fldCharType="end"/>
      </w:r>
      <w:r>
        <w:t xml:space="preserve">. The most adaptable polysaccharide found in nature is sodium alginate, a biodegradable, non-toxic polymer that is isolated from brown seaweed </w:t>
      </w:r>
      <w:r>
        <w:fldChar w:fldCharType="begin" w:fldLock="1"/>
      </w:r>
      <w:r>
        <w:instrText>ADDIN CSL_CITATION {"citationItems":[{"id":"ITEM-1","itemData":{"DOI":"10.1007/s44187-021-00001-5","ISBN":"0123456789","ISSN":"2731-4286","abstract":" Alginates are natural polysaccharides that are extracted from brown seaweed varieties and it is widely used for their rheological properties. The main step in the extraction protocol of sodium alginate is alkaline extraction. Sodium alginate was produced by dipping the seaweed in 1% formaldehyde and 2.5% of sodium carbonate solution and properties were studied following the standard methods. The amount of sodium alginate yield was 31.7% in Sargassum wightii . The moisture content and the ash content were recorded at 16.82% and 5.20%, respectively. The viscosity and the gel strength were noted as 40 vcP, 4.54 × 10 –2 kN with 0.1 M CaCl 2 and 6.86 × 10 –2 kN with 0.2 M CaCl 2 respectively. This study of the extraction method and its properties reveal that Sargassum wightii brown seaweed species have a high affinity to extract the alginate. ","author":[{"dropping-particle":"","family":"Jayasinghe","given":"G. D. T. M.","non-dropping-particle":"","parse-names":false,"suffix":""},{"dropping-particle":"","family":"Jinadasa","given":"B. K. K. K.","non-dropping-particle":"","parse-names":false,"suffix":""},{"dropping-particle":"","family":"Sadaruwan","given":"N. A. G.","non-dropping-particle":"","parse-names":false,"suffix":""}],"container-title":"Discover Food","id":"ITEM-1","issue":"1","issued":{"date-parts":[["2022"]]},"publisher":"Springer International Publishing","title":"Pathway of sodium alginate synthesis from marine brown algae, Sargassum wightii from Sri Lanka","type":"article-journal","volume":"2"},"uris":["http://www.mendeley.com/documents/?uuid=440d7cdf-7c87-4630-8abd-daf1232f22ed","http://www.mendeley.com/documents/?uuid=1871832c-5bf6-499d-906b-61f7f418a1e2"]}],"mendeley":{"formattedCitation":"(Jayasinghe, Jinadasa and Sadaruwan, 2022)","plainTextFormattedCitation":"(Jayasinghe, Jinadasa and Sadaruwan, 2022)","previouslyFormattedCitation":"(Jayasinghe, Jinadasa and Sadaruwan, 2022)"},"properties":{"noteIndex":0},"schema":"https://github.com/citation-style-language/schema/raw/master/csl-citation.json"}</w:instrText>
      </w:r>
      <w:r>
        <w:fldChar w:fldCharType="separate"/>
      </w:r>
      <w:r>
        <w:t>(Jayasinghe, Jinadasa and Sadaruwan, 2022)</w:t>
      </w:r>
      <w:r>
        <w:fldChar w:fldCharType="end"/>
      </w:r>
      <w:r>
        <w:t>. Present investigation focused on synthesis and application of novel biopolymer flocculant (Sodium Alginate) in re-refining of waste lubricating oil. In addition, application of the Taguchi approach of factorial optimization of operational parameters for maximization of yield of re-refined base oil has also been investigated which is not yet reported in any literature.</w:t>
      </w:r>
    </w:p>
    <w:p w14:paraId="1A6240E5" w14:textId="77777777" w:rsidR="006034DC" w:rsidRDefault="00551235">
      <w:pPr>
        <w:pStyle w:val="CETHeading1"/>
      </w:pPr>
      <w:r>
        <w:lastRenderedPageBreak/>
        <w:t>Materials and Method</w:t>
      </w:r>
    </w:p>
    <w:p w14:paraId="46605573" w14:textId="77777777" w:rsidR="006034DC" w:rsidRDefault="00551235">
      <w:pPr>
        <w:pStyle w:val="CETheadingx"/>
      </w:pPr>
      <w:r>
        <w:t>Materials</w:t>
      </w:r>
    </w:p>
    <w:p w14:paraId="78BB08D2" w14:textId="77777777" w:rsidR="006034DC" w:rsidRDefault="00551235">
      <w:pPr>
        <w:pStyle w:val="CETBodytext"/>
      </w:pPr>
      <w:r>
        <w:t>Brown algae (</w:t>
      </w:r>
      <w:r>
        <w:rPr>
          <w:i/>
        </w:rPr>
        <w:t>Sargassum Muticum</w:t>
      </w:r>
      <w:r>
        <w:t>) were collected from nearby pond of NIT Durgapur. Various chemicals such as sodium carbonate, methanol and hydrochloric acid were procured from Merck, India. Re-refining of waste lubricating oil was carried out utilizing 1-butanol as solvent (99 % purity), and fuller’s earth as adsorbent. All these chemicals are provided by EMPARTA, Mumbai.</w:t>
      </w:r>
    </w:p>
    <w:p w14:paraId="3A4E5DA5" w14:textId="77777777" w:rsidR="006034DC" w:rsidRDefault="00551235">
      <w:pPr>
        <w:pStyle w:val="CETheadingx"/>
      </w:pPr>
      <w:r>
        <w:t>Methods</w:t>
      </w:r>
    </w:p>
    <w:p w14:paraId="6B6B586F" w14:textId="77777777" w:rsidR="006034DC" w:rsidRDefault="00551235">
      <w:pPr>
        <w:pStyle w:val="CETHeadingxx"/>
      </w:pPr>
      <w:r>
        <w:t>Development of biopolymer flocculant</w:t>
      </w:r>
    </w:p>
    <w:p w14:paraId="102C7DD5" w14:textId="685495F5" w:rsidR="006034DC" w:rsidRDefault="00551235">
      <w:pPr>
        <w:pStyle w:val="CETBodytext"/>
      </w:pPr>
      <w:r>
        <w:t>The dried Brown algae (</w:t>
      </w:r>
      <w:r>
        <w:rPr>
          <w:i/>
          <w:iCs/>
        </w:rPr>
        <w:t>Sargassum Muticum</w:t>
      </w:r>
      <w:r>
        <w:t xml:space="preserve">) sample was weighed (60 g) and soaked in 80 ml of 2% (v/v) methanal solution for 24 h at room temperature to eliminate phenolic compounds and pigments. After three washes with deionised water, 80 ml mineral acid (HCl) (0.2 M) was added to the solution and left for 24 hours to remove polyphenols and fucoidans </w:t>
      </w:r>
      <w:r>
        <w:fldChar w:fldCharType="begin" w:fldLock="1"/>
      </w:r>
      <w:r>
        <w:instrText>ADDIN CSL_CITATION {"citationItems":[{"id":"ITEM-1","itemData":{"DOI":"10.1016/J.CARBPOL.2014.05.024","ISSN":"0144-8617","PMID":"25037396","abstract":"The aim of this work is focused on the extraction and characterization of the Brazilian seaweed Sargassum filipendula alginate. Alginates obtained at different seasons were characterized by liquid state nuclear magnetic resonance spectroscopy and scanning electron microscopy. The alginate extraction efficiency was about 20%. Different seasons of the year and different stages in the life cycle of Sargassum sp. in southeastern Brazil influenced the M/G and, consequently, the technological properties of extracted alginates. © 2014 Elsevier Ltd.","author":[{"dropping-particle":"","family":"Bertagnolli","given":"Caroline","non-dropping-particle":"","parse-names":false,"suffix":""},{"dropping-particle":"","family":"Espindola","given":"Ana Paula D.M.","non-dropping-particle":"","parse-names":false,"suffix":""},{"dropping-particle":"","family":"Kleinübing","given":"Sirlei Jaiana","non-dropping-particle":"","parse-names":false,"suffix":""},{"dropping-particle":"","family":"Tasic","given":"Ljubica","non-dropping-particle":"","parse-names":false,"suffix":""},{"dropping-particle":"Da","family":"Silva","given":"Meuris Gurgel Carlos","non-dropping-particle":"","parse-names":false,"suffix":""}],"container-title":"Carbohydrate Polymers","id":"ITEM-1","issued":{"date-parts":[["2014","10","13"]]},"page":"619-623","publisher":"Elsevier","title":"Sargassum filipendula alginate from Brazil: Seasonal influence and characteristics","type":"article-journal","volume":"111"},"uris":["http://www.mendeley.com/documents/?uuid=9eacda64-0eb4-3dbb-ba85-f085e93a2e58"]}],"mendeley":{"formattedCitation":"(Bertagnolli &lt;i&gt;et al.&lt;/i&gt;, 2014)","plainTextFormattedCitation":"(Bertagnolli et al., 2014)","previouslyFormattedCitation":"(Bertagnolli &lt;i&gt;et al.&lt;/i&gt;, 2014)"},"properties":{"noteIndex":0},"schema":"https://github.com/citation-style-language/schema/raw/master/csl-citation.json"}</w:instrText>
      </w:r>
      <w:r>
        <w:fldChar w:fldCharType="separate"/>
      </w:r>
      <w:r>
        <w:t>(Bertagnolli et al., 2014)</w:t>
      </w:r>
      <w:r>
        <w:fldChar w:fldCharType="end"/>
      </w:r>
      <w:r>
        <w:t xml:space="preserve">. The seaweed biomass is washed with deionised water before extraction with 2% sodium carbonate for 3 h at 80 </w:t>
      </w:r>
      <w:r>
        <w:rPr>
          <w:rFonts w:ascii="Cambria Math" w:hAnsi="Cambria Math" w:cs="Cambria Math"/>
        </w:rPr>
        <w:t>℃</w:t>
      </w:r>
      <w:r>
        <w:t xml:space="preserve">. The sodium alginate is then liberated from the seaweed biomass matrix and transported into the liquid phase </w:t>
      </w:r>
      <w:r>
        <w:fldChar w:fldCharType="begin" w:fldLock="1"/>
      </w:r>
      <w:r>
        <w:instrText>ADDIN CSL_CITATION {"citationItems":[{"id":"ITEM-1","itemData":{"DOI":"10.3390/su14095181","ISSN":"20711050","abstract":"Alginate is an attractive marine resource-based biopolymer, which has been widely used in pharmaceutical, food and textile industries. This paper reviewed the latest development of the conventional and alternative processes for alginate extraction from brown seaweed. To improve extraction yield and product quality, various studies have been carried out to optimize the operation condition. Based on literature survey, the most commonly used protocol is soaking milled seaweed in 2% (w/v) formaldehyde, overnight, solid loading ratio of 1:10–20 (dry weight biomass to solution), then collecting the solid for acid pre-treatment with HCl 0.2–2% (w/v), 40–60◦C, 1:10–30 ratio for 2–4 h. Next, the solid residue from the acid pre-treatment is extracted using Na2CO3 at 2–4% (w/v), 40–60◦C, 2–3 h, 1:10–30 ratio. Then the liquid portion is precipitated by ethanol (95%+) with a ratio of 1:1 (v/v). Finally, the solid output is dried in oven at 50–60◦C. Novel extraction methods using ultrasound, microwave, enzymes and extrusion improved the extraction yield and alginate properties, but the financial benefits have not been fully justified yet. To improve the sustainable production of alginate, it is required to promote seaweed cultivation, reduce water footprint, decrease organic solvent usage and co-produce alginate with other value-added products.","author":[{"dropping-particle":"","family":"Saji","given":"Sijin","non-dropping-particle":"","parse-names":false,"suffix":""},{"dropping-particle":"","family":"Hebden","given":"Andrew","non-dropping-particle":"","parse-names":false,"suffix":""},{"dropping-particle":"","family":"Goswami","given":"Parikshit","non-dropping-particle":"","parse-names":false,"suffix":""},{"dropping-particle":"","family":"Du","given":"Chenyu","non-dropping-particle":"","parse-names":false,"suffix":""}],"container-title":"Sustainability (Switzerland)","id":"ITEM-1","issue":"9","issued":{"date-parts":[["2022"]]},"page":"1-20","title":"A Brief Review on the Development of Alginate Extraction Process and Its Sustainability","type":"article-journal","volume":"14"},"uris":["http://www.mendeley.com/documents/?uuid=3b3e3dd0-cd2d-425c-a56e-651641952264"]}],"mendeley":{"formattedCitation":"(Saji &lt;i&gt;et al.&lt;/i&gt;, 2022)","plainTextFormattedCitation":"(Saji et al., 2022)","previouslyFormattedCitation":"(Saji &lt;i&gt;et al.&lt;/i&gt;, 2022)"},"properties":{"noteIndex":0},"schema":"https://github.com/citation-style-language/schema/raw/master/csl-citation.json"}</w:instrText>
      </w:r>
      <w:r>
        <w:fldChar w:fldCharType="separate"/>
      </w:r>
      <w:r>
        <w:t>(Saji et al., 2022)</w:t>
      </w:r>
      <w:r>
        <w:fldChar w:fldCharType="end"/>
      </w:r>
      <w:r>
        <w:t xml:space="preserve">. Centrifugation (12,000 rpm for 30 minutes) was employed to collect the soluble fraction, and polysaccharides were precipitated by adding three volumes of 95% ethanol. Collected sodium alginates were washed twice with 50 ml of acetone to convert the fibre-like solid form of sodium alginate to powder form and dried at 65 </w:t>
      </w:r>
      <w:r>
        <w:rPr>
          <w:rFonts w:ascii="Cambria Math" w:hAnsi="Cambria Math" w:cs="Cambria Math"/>
        </w:rPr>
        <w:t>℃</w:t>
      </w:r>
      <w:r>
        <w:t>. Figure 1 illustrated the process flow diagram for synthesis of sodium alginate from brown algae.</w:t>
      </w:r>
      <w:r w:rsidR="0058019B">
        <w:t xml:space="preserve"> Percentage yield of extracted bio flocculant can be determined by Eq(1).</w:t>
      </w:r>
    </w:p>
    <w:p w14:paraId="15E41040" w14:textId="77777777" w:rsidR="006034DC" w:rsidRDefault="006034DC">
      <w:pPr>
        <w:pStyle w:val="CETBodytext"/>
      </w:pPr>
    </w:p>
    <w:p w14:paraId="69501FBE" w14:textId="77777777" w:rsidR="006034DC" w:rsidRDefault="00551235" w:rsidP="00AB61AB">
      <w:pPr>
        <w:pStyle w:val="CETBodytext"/>
        <w:jc w:val="center"/>
      </w:pPr>
      <w:r>
        <w:rPr>
          <w:noProof/>
          <w:lang w:val="en-IN" w:eastAsia="en-IN"/>
        </w:rPr>
        <w:drawing>
          <wp:inline distT="0" distB="0" distL="0" distR="0" wp14:anchorId="280232D9" wp14:editId="7B17AD1B">
            <wp:extent cx="4157980" cy="2305879"/>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10" cstate="print">
                      <a:extLst>
                        <a:ext uri="{28A0092B-C50C-407E-A947-70E740481C1C}">
                          <a14:useLocalDpi xmlns:a14="http://schemas.microsoft.com/office/drawing/2010/main" val="0"/>
                        </a:ext>
                      </a:extLst>
                    </a:blip>
                    <a:srcRect b="14814"/>
                    <a:stretch>
                      <a:fillRect/>
                    </a:stretch>
                  </pic:blipFill>
                  <pic:spPr>
                    <a:xfrm>
                      <a:off x="0" y="0"/>
                      <a:ext cx="4304775" cy="2387287"/>
                    </a:xfrm>
                    <a:prstGeom prst="rect">
                      <a:avLst/>
                    </a:prstGeom>
                    <a:noFill/>
                    <a:ln>
                      <a:noFill/>
                    </a:ln>
                  </pic:spPr>
                </pic:pic>
              </a:graphicData>
            </a:graphic>
          </wp:inline>
        </w:drawing>
      </w:r>
    </w:p>
    <w:p w14:paraId="41DEBA94" w14:textId="77777777" w:rsidR="006034DC" w:rsidRDefault="00551235" w:rsidP="00AB61AB">
      <w:pPr>
        <w:pStyle w:val="CETCaption"/>
        <w:jc w:val="center"/>
      </w:pPr>
      <w:r>
        <w:rPr>
          <w:rStyle w:val="CETCaptionCarattere"/>
          <w:i/>
        </w:rPr>
        <w:t>Figure 1: Process flow diagram of development of Sodium Alginate</w:t>
      </w:r>
    </w:p>
    <w:tbl>
      <w:tblPr>
        <w:tblW w:w="5000" w:type="pct"/>
        <w:tblLook w:val="04A0" w:firstRow="1" w:lastRow="0" w:firstColumn="1" w:lastColumn="0" w:noHBand="0" w:noVBand="1"/>
      </w:tblPr>
      <w:tblGrid>
        <w:gridCol w:w="7985"/>
        <w:gridCol w:w="802"/>
      </w:tblGrid>
      <w:tr w:rsidR="006034DC" w14:paraId="35D35446" w14:textId="77777777">
        <w:tc>
          <w:tcPr>
            <w:tcW w:w="7985" w:type="dxa"/>
            <w:shd w:val="clear" w:color="auto" w:fill="auto"/>
            <w:vAlign w:val="center"/>
          </w:tcPr>
          <w:p w14:paraId="18A89197" w14:textId="77777777" w:rsidR="006034DC" w:rsidRDefault="00551235">
            <w:pPr>
              <w:pStyle w:val="CETEquation"/>
              <w:ind w:left="-113"/>
            </w:pPr>
            <w:r>
              <w:rPr>
                <w:b/>
              </w:rPr>
              <w:t>The percentage yield of extracted bio-flocculant</w:t>
            </w:r>
            <w:r>
              <w:t xml:space="preserve"> =</w:t>
            </w:r>
            <m:oMath>
              <m:r>
                <w:rPr>
                  <w:rFonts w:ascii="Cambria Math" w:hAnsi="Cambria Math" w:cs="Arial"/>
                  <w:sz w:val="14"/>
                  <w:szCs w:val="16"/>
                </w:rPr>
                <m:t xml:space="preserve"> </m:t>
              </m:r>
              <m:f>
                <m:fPr>
                  <m:ctrlPr>
                    <w:rPr>
                      <w:rFonts w:ascii="Cambria Math" w:hAnsi="Cambria Math" w:cs="Arial"/>
                      <w:i/>
                      <w:sz w:val="24"/>
                      <w:szCs w:val="24"/>
                    </w:rPr>
                  </m:ctrlPr>
                </m:fPr>
                <m:num>
                  <m:r>
                    <m:rPr>
                      <m:sty m:val="p"/>
                    </m:rPr>
                    <w:rPr>
                      <w:rFonts w:ascii="Cambria Math" w:hAnsi="Cambria Math" w:cs="Arial"/>
                      <w:sz w:val="24"/>
                      <w:szCs w:val="24"/>
                    </w:rPr>
                    <m:t xml:space="preserve">Weight of </m:t>
                  </m:r>
                  <m:r>
                    <m:rPr>
                      <m:sty m:val="p"/>
                    </m:rPr>
                    <w:rPr>
                      <w:rFonts w:ascii="Cambria Math" w:hAnsi="Cambria Math" w:cs="Arial"/>
                      <w:sz w:val="28"/>
                      <w:szCs w:val="28"/>
                    </w:rPr>
                    <m:t>sodium</m:t>
                  </m:r>
                  <m:r>
                    <m:rPr>
                      <m:sty m:val="p"/>
                    </m:rPr>
                    <w:rPr>
                      <w:rFonts w:ascii="Cambria Math" w:hAnsi="Cambria Math" w:cs="Arial"/>
                      <w:sz w:val="24"/>
                      <w:szCs w:val="24"/>
                    </w:rPr>
                    <m:t xml:space="preserve"> alginate  </m:t>
                  </m:r>
                </m:num>
                <m:den>
                  <m:r>
                    <m:rPr>
                      <m:sty m:val="p"/>
                    </m:rPr>
                    <w:rPr>
                      <w:rFonts w:ascii="Cambria Math" w:hAnsi="Cambria Math" w:cs="Arial"/>
                      <w:sz w:val="24"/>
                      <w:szCs w:val="24"/>
                    </w:rPr>
                    <m:t>Weight of seaweed sample</m:t>
                  </m:r>
                </m:den>
              </m:f>
            </m:oMath>
            <w:r>
              <w:t xml:space="preserve">* 100                                        </w:t>
            </w:r>
          </w:p>
        </w:tc>
        <w:tc>
          <w:tcPr>
            <w:tcW w:w="802" w:type="dxa"/>
            <w:shd w:val="clear" w:color="auto" w:fill="auto"/>
            <w:vAlign w:val="center"/>
          </w:tcPr>
          <w:p w14:paraId="15E60ED2" w14:textId="77777777" w:rsidR="006034DC" w:rsidRDefault="00551235">
            <w:pPr>
              <w:pStyle w:val="CETEquation"/>
              <w:jc w:val="right"/>
            </w:pPr>
            <w:r>
              <w:t>(1)</w:t>
            </w:r>
          </w:p>
        </w:tc>
      </w:tr>
    </w:tbl>
    <w:p w14:paraId="0754CDEF" w14:textId="77777777" w:rsidR="006034DC" w:rsidRDefault="00551235">
      <w:pPr>
        <w:pStyle w:val="CETHeadingxx"/>
      </w:pPr>
      <w:r>
        <w:t xml:space="preserve">Experimental procedure </w:t>
      </w:r>
    </w:p>
    <w:p w14:paraId="5B6D0EC2" w14:textId="4A2ACEAE" w:rsidR="006034DC" w:rsidRDefault="00551235">
      <w:pPr>
        <w:pStyle w:val="CETListbullets"/>
        <w:ind w:left="0" w:firstLine="0"/>
        <w:rPr>
          <w:rStyle w:val="CETBodytextCarattere"/>
        </w:rPr>
      </w:pPr>
      <w:r>
        <w:rPr>
          <w:rStyle w:val="CETBodytextCarattere"/>
        </w:rPr>
        <w:t>To separate the water and light hydrocarbon from waste lubricant, it is first heated upto 120-130 °C on a hot plate magnetic stirrer. Subsequently, 50 g of waste lubricating oil,1-butanol as solvent (molar proportions ranging from 3:1 to 7:1), and developed bio-flocculant (flocculant concentration ranging from 1 g/kg of solvent to 3 g/kg of solvent) was mixed for 30 minutes on a magnetic stirrer. The mixtures were subjected for   centrifugation at 6000–9000 rpm. Sludge was segregated from the solvent and oil mixture and the extracted lubricating oil was weighed. Adsorption treatment was performed using fullers earth as an adsorbent to remove the dark brown colour caused by the oil overheating. Figure 2 depicts a schematic representation of the extraction-flocculation process. Percentage yield of refined base oil can be calculated using Eq(2).</w:t>
      </w:r>
    </w:p>
    <w:p w14:paraId="01DC0684" w14:textId="77777777" w:rsidR="006034DC" w:rsidRDefault="006034DC">
      <w:pPr>
        <w:pStyle w:val="CETListbullets"/>
        <w:ind w:left="0" w:firstLine="0"/>
        <w:rPr>
          <w:rStyle w:val="CETBodytextCarattere"/>
        </w:rPr>
      </w:pPr>
    </w:p>
    <w:p w14:paraId="70F2A7DA" w14:textId="77777777" w:rsidR="006034DC" w:rsidRDefault="00551235" w:rsidP="00AB61AB">
      <w:pPr>
        <w:pStyle w:val="CETListbullets"/>
        <w:ind w:left="0" w:firstLine="0"/>
        <w:jc w:val="center"/>
        <w:rPr>
          <w:rStyle w:val="CETBodytextCarattere"/>
        </w:rPr>
      </w:pPr>
      <w:r>
        <w:rPr>
          <w:rStyle w:val="CETBodytextCarattere"/>
          <w:noProof/>
          <w:lang w:val="en-IN" w:eastAsia="en-IN"/>
        </w:rPr>
        <w:lastRenderedPageBreak/>
        <w:drawing>
          <wp:inline distT="0" distB="0" distL="0" distR="0" wp14:anchorId="0BCED074" wp14:editId="16485BEE">
            <wp:extent cx="3969597" cy="16141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99663" cy="1626340"/>
                    </a:xfrm>
                    <a:prstGeom prst="rect">
                      <a:avLst/>
                    </a:prstGeom>
                    <a:noFill/>
                    <a:ln>
                      <a:noFill/>
                    </a:ln>
                  </pic:spPr>
                </pic:pic>
              </a:graphicData>
            </a:graphic>
          </wp:inline>
        </w:drawing>
      </w:r>
    </w:p>
    <w:tbl>
      <w:tblPr>
        <w:tblpPr w:leftFromText="180" w:rightFromText="180" w:vertAnchor="text" w:horzAnchor="margin" w:tblpY="612"/>
        <w:tblW w:w="5000" w:type="pct"/>
        <w:tblLook w:val="04A0" w:firstRow="1" w:lastRow="0" w:firstColumn="1" w:lastColumn="0" w:noHBand="0" w:noVBand="1"/>
      </w:tblPr>
      <w:tblGrid>
        <w:gridCol w:w="7986"/>
        <w:gridCol w:w="801"/>
      </w:tblGrid>
      <w:tr w:rsidR="006034DC" w14:paraId="2B225ECA" w14:textId="77777777">
        <w:tc>
          <w:tcPr>
            <w:tcW w:w="7986" w:type="dxa"/>
            <w:shd w:val="clear" w:color="auto" w:fill="auto"/>
            <w:vAlign w:val="center"/>
          </w:tcPr>
          <w:p w14:paraId="281E555A" w14:textId="77777777" w:rsidR="006034DC" w:rsidRDefault="00551235">
            <w:pPr>
              <w:pStyle w:val="CETEquation"/>
              <w:ind w:left="-113"/>
            </w:pPr>
            <w:r>
              <w:rPr>
                <w:b/>
              </w:rPr>
              <w:t>Percentage yield of recovered oil</w:t>
            </w:r>
            <w:r>
              <w:t xml:space="preserve"> =</w:t>
            </w:r>
            <m:oMath>
              <m:r>
                <w:rPr>
                  <w:rFonts w:ascii="Cambria Math" w:hAnsi="Cambria Math" w:cs="Arial"/>
                  <w:szCs w:val="18"/>
                </w:rPr>
                <m:t xml:space="preserve"> </m:t>
              </m:r>
              <m:f>
                <m:fPr>
                  <m:ctrlPr>
                    <w:rPr>
                      <w:rFonts w:ascii="Cambria Math" w:hAnsi="Cambria Math" w:cs="Arial"/>
                      <w:i/>
                      <w:szCs w:val="18"/>
                    </w:rPr>
                  </m:ctrlPr>
                </m:fPr>
                <m:num>
                  <m:r>
                    <m:rPr>
                      <m:sty m:val="p"/>
                    </m:rPr>
                    <w:rPr>
                      <w:rFonts w:ascii="Cambria Math" w:hAnsi="Cambria Math" w:cs="Arial"/>
                      <w:szCs w:val="18"/>
                    </w:rPr>
                    <m:t xml:space="preserve">Weight of recovered oil </m:t>
                  </m:r>
                </m:num>
                <m:den>
                  <m:r>
                    <m:rPr>
                      <m:sty m:val="p"/>
                    </m:rPr>
                    <w:rPr>
                      <w:rFonts w:ascii="Cambria Math" w:hAnsi="Cambria Math" w:cs="Arial"/>
                      <w:szCs w:val="18"/>
                    </w:rPr>
                    <m:t>Weight of used oil</m:t>
                  </m:r>
                </m:den>
              </m:f>
            </m:oMath>
            <w:r>
              <w:t xml:space="preserve">* 100                                        </w:t>
            </w:r>
          </w:p>
        </w:tc>
        <w:tc>
          <w:tcPr>
            <w:tcW w:w="801" w:type="dxa"/>
            <w:shd w:val="clear" w:color="auto" w:fill="auto"/>
            <w:vAlign w:val="center"/>
          </w:tcPr>
          <w:p w14:paraId="2EBD318B" w14:textId="77777777" w:rsidR="006034DC" w:rsidRDefault="00551235">
            <w:pPr>
              <w:pStyle w:val="CETEquation"/>
              <w:jc w:val="right"/>
            </w:pPr>
            <w:r>
              <w:t>(2)</w:t>
            </w:r>
          </w:p>
        </w:tc>
      </w:tr>
    </w:tbl>
    <w:p w14:paraId="609B352F" w14:textId="77777777" w:rsidR="006034DC" w:rsidRDefault="00551235" w:rsidP="00AB61AB">
      <w:pPr>
        <w:pStyle w:val="CETCaption"/>
        <w:jc w:val="center"/>
      </w:pPr>
      <w:r>
        <w:rPr>
          <w:rStyle w:val="CETCaptionCarattere"/>
          <w:i/>
        </w:rPr>
        <w:t>Figure 2: Process flow diagram of extraction-flocculation</w:t>
      </w:r>
    </w:p>
    <w:p w14:paraId="3D54490E" w14:textId="77777777" w:rsidR="006034DC" w:rsidRDefault="00551235">
      <w:pPr>
        <w:pStyle w:val="CETheadingx"/>
      </w:pPr>
      <w:r>
        <w:t>Design of experiments by L9 orthogonal array</w:t>
      </w:r>
    </w:p>
    <w:p w14:paraId="65837706" w14:textId="2B84E17F" w:rsidR="006034DC" w:rsidRDefault="00551235">
      <w:pPr>
        <w:pStyle w:val="CETBodytext"/>
        <w:rPr>
          <w:lang w:val="en-GB"/>
        </w:rPr>
      </w:pPr>
      <w:r>
        <w:rPr>
          <w:lang w:val="en-GB"/>
        </w:rPr>
        <w:t xml:space="preserve">Dr.Genichi Taguchi developed the Taguchi method, that investigates the influence of each operational constraint on performance characteristics and also determines which parameter is the most influenced among all other variables that are chosen for designing the model </w:t>
      </w:r>
      <w:r>
        <w:rPr>
          <w:lang w:val="en-GB"/>
        </w:rPr>
        <w:fldChar w:fldCharType="begin" w:fldLock="1"/>
      </w:r>
      <w:r>
        <w:rPr>
          <w:lang w:val="en-GB"/>
        </w:rPr>
        <w:instrText>ADDIN CSL_CITATION {"citationItems":[{"id":"ITEM-1","itemData":{"DOI":"10.1016/j.jece.2018.05.053","ISSN":"22133437","abstract":"Biodiesel has gained a significant attention as a clean alternative to the convention diesel over the couple of years. However, its production cost is a concerning factor mainly due to feedstock unavailability in abundance. Hence, the present study highlights the use of waste cooking oil (WCO) as a feedstock for biodiesel production by esterification, which is made feasible by optimization using Taguchi approach. L9 orthogonal array is utilized for designing an experimental matrix considering four parameters i.e. reaction time, reaction temperature, molar ratio of oil to methanol and catalyst concentration at three different levels. The Taguchi approach allows an identification of significance of the parameters affecting the FFA (free fatty acid) conversion by analysing the response through analysis of variance (ANOVA). Among the four considered parameters, temperature, molar ratio of oil to methanol and reaction time emerged as significant parameters with contribution factors 71.6%, 21.5%, and 5.3% respectively. Maximum FFA conversion of 95.376% was obtained with homogeneous H2SO4 catalyst under conditions: catalyst concentration 5 wt%, reaction time 3 h, temperature 60 °C and oil to methanol ratio 1:12. Kinetic studies of the esterification process revealed that it follows pseudo-first order kinetics with an activation energy (EA) 986.37 J and rate constant 0.0095 h-1. Fuel characterization results revealed that the produced biodiesel possesses properties which are comparable to petro-diesel. It can be inferred that optimised production of biodiesel from WCO could give a sustainable and lucrative method for the efficient production of biodiesel.","author":[{"dropping-particle":"","family":"Dhawane","given":"Sumit H.","non-dropping-particle":"","parse-names":false,"suffix":""},{"dropping-particle":"","family":"Karmakar","given":"Bisheswar","non-dropping-particle":"","parse-names":false,"suffix":""},{"dropping-particle":"","family":"Ghosh","given":"Shubham","non-dropping-particle":"","parse-names":false,"suffix":""},{"dropping-particle":"","family":"Halder","given":"Gopinath","non-dropping-particle":"","parse-names":false,"suffix":""}],"container-title":"Journal of Environmental Chemical Engineering","id":"ITEM-1","issue":"4","issued":{"date-parts":[["2018"]]},"page":"3971-3980","publisher":"Elsevier B.V.","title":"Parametric optimisation of biodiesel synthesis from waste cooking oil via Taguchi approach","type":"article-journal","volume":"6"},"uris":["http://www.mendeley.com/documents/?uuid=5baf2904-7023-418c-9ac7-2f14896f2d68"]}],"mendeley":{"formattedCitation":"(Dhawane &lt;i&gt;et al.&lt;/i&gt;, 2018)","plainTextFormattedCitation":"(Dhawane et al., 2018)","previouslyFormattedCitation":"(Dhawane &lt;i&gt;et al.&lt;/i&gt;, 2018)"},"properties":{"noteIndex":0},"schema":"https://github.com/citation-style-language/schema/raw/master/csl-citation.json"}</w:instrText>
      </w:r>
      <w:r>
        <w:rPr>
          <w:lang w:val="en-GB"/>
        </w:rPr>
        <w:fldChar w:fldCharType="separate"/>
      </w:r>
      <w:r>
        <w:rPr>
          <w:lang w:val="en-GB"/>
        </w:rPr>
        <w:t>(Dhawane et al., 2018)</w:t>
      </w:r>
      <w:r>
        <w:fldChar w:fldCharType="end"/>
      </w:r>
      <w:r>
        <w:rPr>
          <w:lang w:val="en-GB"/>
        </w:rPr>
        <w:t xml:space="preserve">. The levels of independent </w:t>
      </w:r>
      <w:r w:rsidR="001622F9">
        <w:rPr>
          <w:lang w:val="en-GB"/>
        </w:rPr>
        <w:t>variables</w:t>
      </w:r>
      <w:r w:rsidR="00A23A27">
        <w:rPr>
          <w:lang w:val="en-GB"/>
        </w:rPr>
        <w:t>,</w:t>
      </w:r>
      <w:r w:rsidR="001622F9">
        <w:rPr>
          <w:lang w:val="en-GB"/>
        </w:rPr>
        <w:t xml:space="preserve"> experimental matrix </w:t>
      </w:r>
      <w:r w:rsidR="001622F9">
        <w:t>for maximising percentage yield of recovered oil using Taguchi L9</w:t>
      </w:r>
      <w:r w:rsidR="001622F9">
        <w:rPr>
          <w:lang w:val="en-GB"/>
        </w:rPr>
        <w:t xml:space="preserve"> </w:t>
      </w:r>
      <w:r w:rsidR="005C1F2B">
        <w:rPr>
          <w:lang w:val="en-GB"/>
        </w:rPr>
        <w:t xml:space="preserve">method </w:t>
      </w:r>
      <w:r>
        <w:rPr>
          <w:lang w:val="en-GB"/>
        </w:rPr>
        <w:t>are summarised in Table 1</w:t>
      </w:r>
      <w:r w:rsidR="001622F9">
        <w:rPr>
          <w:lang w:val="en-GB"/>
        </w:rPr>
        <w:t xml:space="preserve"> and Table 2 respectively</w:t>
      </w:r>
      <w:r>
        <w:rPr>
          <w:lang w:val="en-GB"/>
        </w:rPr>
        <w:t>. N represents the total number of runs, which is highly dependent on the total number of parameters indicated by P, and L represents the level of each parameter as shown in Eq(3).</w:t>
      </w:r>
    </w:p>
    <w:tbl>
      <w:tblPr>
        <w:tblW w:w="5000" w:type="pct"/>
        <w:tblLook w:val="04A0" w:firstRow="1" w:lastRow="0" w:firstColumn="1" w:lastColumn="0" w:noHBand="0" w:noVBand="1"/>
      </w:tblPr>
      <w:tblGrid>
        <w:gridCol w:w="6092"/>
        <w:gridCol w:w="1329"/>
        <w:gridCol w:w="1366"/>
      </w:tblGrid>
      <w:tr w:rsidR="006034DC" w14:paraId="428259A1" w14:textId="77777777">
        <w:trPr>
          <w:trHeight w:val="77"/>
        </w:trPr>
        <w:tc>
          <w:tcPr>
            <w:tcW w:w="6092" w:type="dxa"/>
            <w:shd w:val="clear" w:color="auto" w:fill="auto"/>
            <w:vAlign w:val="center"/>
          </w:tcPr>
          <w:p w14:paraId="7F7A1251" w14:textId="77777777" w:rsidR="006034DC" w:rsidRDefault="00551235">
            <w:pPr>
              <w:pStyle w:val="CETEquation"/>
              <w:spacing w:line="240" w:lineRule="auto"/>
            </w:pPr>
            <w:r>
              <w:rPr>
                <w:lang w:val="it-IT" w:eastAsia="it-IT"/>
              </w:rPr>
              <w:t>N=(L-1)P+1</w:t>
            </w:r>
          </w:p>
        </w:tc>
        <w:tc>
          <w:tcPr>
            <w:tcW w:w="1329" w:type="dxa"/>
          </w:tcPr>
          <w:p w14:paraId="091DB846" w14:textId="77777777" w:rsidR="006034DC" w:rsidRDefault="006034DC">
            <w:pPr>
              <w:pStyle w:val="CETEquation"/>
              <w:spacing w:line="240" w:lineRule="auto"/>
              <w:jc w:val="right"/>
            </w:pPr>
          </w:p>
        </w:tc>
        <w:tc>
          <w:tcPr>
            <w:tcW w:w="1366" w:type="dxa"/>
            <w:shd w:val="clear" w:color="auto" w:fill="auto"/>
            <w:vAlign w:val="center"/>
          </w:tcPr>
          <w:p w14:paraId="5432F8DF" w14:textId="77777777" w:rsidR="006034DC" w:rsidRDefault="00551235">
            <w:pPr>
              <w:pStyle w:val="CETEquation"/>
              <w:spacing w:line="240" w:lineRule="auto"/>
              <w:jc w:val="right"/>
            </w:pPr>
            <w:r>
              <w:t xml:space="preserve">   (3)</w:t>
            </w:r>
          </w:p>
        </w:tc>
      </w:tr>
    </w:tbl>
    <w:p w14:paraId="1DB54E6E" w14:textId="77777777" w:rsidR="006034DC" w:rsidRDefault="00551235">
      <w:pPr>
        <w:pStyle w:val="CETTabletitle"/>
      </w:pPr>
      <w:r>
        <w:t>Table 1: Parameters and their levels for L9 orthogonal array</w:t>
      </w:r>
    </w:p>
    <w:tbl>
      <w:tblPr>
        <w:tblW w:w="5000" w:type="pct"/>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2429"/>
        <w:gridCol w:w="3202"/>
        <w:gridCol w:w="1866"/>
        <w:gridCol w:w="404"/>
        <w:gridCol w:w="404"/>
        <w:gridCol w:w="482"/>
      </w:tblGrid>
      <w:tr w:rsidR="006034DC" w14:paraId="5EC4F2E4" w14:textId="77777777">
        <w:tc>
          <w:tcPr>
            <w:tcW w:w="1382" w:type="pct"/>
            <w:tcBorders>
              <w:top w:val="single" w:sz="12" w:space="0" w:color="008000"/>
              <w:bottom w:val="single" w:sz="6" w:space="0" w:color="008000"/>
            </w:tcBorders>
            <w:shd w:val="clear" w:color="auto" w:fill="FFFFFF"/>
          </w:tcPr>
          <w:p w14:paraId="4F8E9CBD" w14:textId="77777777" w:rsidR="006034DC" w:rsidRDefault="00551235">
            <w:pPr>
              <w:pStyle w:val="CETBodytext"/>
              <w:rPr>
                <w:lang w:val="en-GB"/>
              </w:rPr>
            </w:pPr>
            <w:r>
              <w:rPr>
                <w:lang w:val="en-GB"/>
              </w:rPr>
              <w:t xml:space="preserve">Coded Parameters </w:t>
            </w:r>
          </w:p>
        </w:tc>
        <w:tc>
          <w:tcPr>
            <w:tcW w:w="1822" w:type="pct"/>
            <w:tcBorders>
              <w:top w:val="single" w:sz="12" w:space="0" w:color="008000"/>
              <w:bottom w:val="single" w:sz="6" w:space="0" w:color="008000"/>
            </w:tcBorders>
            <w:shd w:val="clear" w:color="auto" w:fill="FFFFFF"/>
          </w:tcPr>
          <w:p w14:paraId="2D1FE324" w14:textId="77777777" w:rsidR="006034DC" w:rsidRDefault="00551235">
            <w:pPr>
              <w:pStyle w:val="CETBodytext"/>
              <w:rPr>
                <w:lang w:val="en-GB"/>
              </w:rPr>
            </w:pPr>
            <w:r>
              <w:rPr>
                <w:lang w:val="en-GB"/>
              </w:rPr>
              <w:t>Factors</w:t>
            </w:r>
          </w:p>
        </w:tc>
        <w:tc>
          <w:tcPr>
            <w:tcW w:w="1062" w:type="pct"/>
            <w:tcBorders>
              <w:top w:val="single" w:sz="12" w:space="0" w:color="008000"/>
              <w:bottom w:val="single" w:sz="6" w:space="0" w:color="008000"/>
            </w:tcBorders>
            <w:shd w:val="clear" w:color="auto" w:fill="FFFFFF"/>
          </w:tcPr>
          <w:p w14:paraId="3B59A5CF" w14:textId="77777777" w:rsidR="006034DC" w:rsidRDefault="00551235">
            <w:pPr>
              <w:pStyle w:val="CETBodytext"/>
              <w:rPr>
                <w:lang w:val="en-GB"/>
              </w:rPr>
            </w:pPr>
            <w:r>
              <w:rPr>
                <w:lang w:val="en-GB"/>
              </w:rPr>
              <w:t>Units</w:t>
            </w:r>
          </w:p>
        </w:tc>
        <w:tc>
          <w:tcPr>
            <w:tcW w:w="734" w:type="pct"/>
            <w:gridSpan w:val="3"/>
            <w:tcBorders>
              <w:top w:val="single" w:sz="12" w:space="0" w:color="008000"/>
              <w:bottom w:val="single" w:sz="6" w:space="0" w:color="008000"/>
            </w:tcBorders>
            <w:shd w:val="clear" w:color="auto" w:fill="FFFFFF"/>
          </w:tcPr>
          <w:p w14:paraId="793AC5D8" w14:textId="77777777" w:rsidR="006034DC" w:rsidRDefault="00551235">
            <w:pPr>
              <w:pStyle w:val="CETBodytext"/>
              <w:ind w:right="-1"/>
              <w:rPr>
                <w:rFonts w:cs="Arial"/>
                <w:szCs w:val="18"/>
                <w:lang w:val="en-GB"/>
              </w:rPr>
            </w:pPr>
            <w:r>
              <w:rPr>
                <w:rFonts w:cs="Arial"/>
                <w:szCs w:val="18"/>
                <w:lang w:val="en-GB"/>
              </w:rPr>
              <w:t>Levels</w:t>
            </w:r>
          </w:p>
        </w:tc>
      </w:tr>
      <w:tr w:rsidR="006034DC" w14:paraId="59D97685" w14:textId="77777777">
        <w:tc>
          <w:tcPr>
            <w:tcW w:w="1382" w:type="pct"/>
            <w:shd w:val="clear" w:color="auto" w:fill="FFFFFF"/>
          </w:tcPr>
          <w:p w14:paraId="44A705BF" w14:textId="77777777" w:rsidR="006034DC" w:rsidRDefault="006034DC">
            <w:pPr>
              <w:pStyle w:val="CETBodytext"/>
              <w:rPr>
                <w:lang w:val="en-GB"/>
              </w:rPr>
            </w:pPr>
          </w:p>
        </w:tc>
        <w:tc>
          <w:tcPr>
            <w:tcW w:w="1822" w:type="pct"/>
            <w:shd w:val="clear" w:color="auto" w:fill="FFFFFF"/>
          </w:tcPr>
          <w:p w14:paraId="56943FF6" w14:textId="77777777" w:rsidR="006034DC" w:rsidRDefault="006034DC">
            <w:pPr>
              <w:pStyle w:val="CETBodytext"/>
              <w:rPr>
                <w:lang w:val="en-GB"/>
              </w:rPr>
            </w:pPr>
          </w:p>
        </w:tc>
        <w:tc>
          <w:tcPr>
            <w:tcW w:w="1062" w:type="pct"/>
            <w:shd w:val="clear" w:color="auto" w:fill="FFFFFF"/>
          </w:tcPr>
          <w:p w14:paraId="10669677" w14:textId="77777777" w:rsidR="006034DC" w:rsidRDefault="006034DC">
            <w:pPr>
              <w:pStyle w:val="CETBodytext"/>
              <w:rPr>
                <w:lang w:val="en-GB"/>
              </w:rPr>
            </w:pPr>
          </w:p>
        </w:tc>
        <w:tc>
          <w:tcPr>
            <w:tcW w:w="230" w:type="pct"/>
            <w:shd w:val="clear" w:color="auto" w:fill="FFFFFF"/>
          </w:tcPr>
          <w:p w14:paraId="4AA6FB64" w14:textId="77777777" w:rsidR="006034DC" w:rsidRDefault="00551235">
            <w:pPr>
              <w:pStyle w:val="CETBodytext"/>
              <w:ind w:right="-1"/>
              <w:rPr>
                <w:rFonts w:cs="Arial"/>
                <w:szCs w:val="18"/>
                <w:lang w:val="en-GB"/>
              </w:rPr>
            </w:pPr>
            <w:r>
              <w:rPr>
                <w:rFonts w:cs="Arial"/>
                <w:szCs w:val="18"/>
                <w:lang w:val="en-GB"/>
              </w:rPr>
              <w:t>-1</w:t>
            </w:r>
          </w:p>
        </w:tc>
        <w:tc>
          <w:tcPr>
            <w:tcW w:w="230" w:type="pct"/>
            <w:shd w:val="clear" w:color="auto" w:fill="FFFFFF"/>
          </w:tcPr>
          <w:p w14:paraId="030712F5" w14:textId="77777777" w:rsidR="006034DC" w:rsidRDefault="00551235">
            <w:pPr>
              <w:pStyle w:val="CETBodytext"/>
              <w:ind w:right="-1"/>
              <w:rPr>
                <w:rFonts w:cs="Arial"/>
                <w:szCs w:val="18"/>
                <w:lang w:val="en-GB"/>
              </w:rPr>
            </w:pPr>
            <w:r>
              <w:rPr>
                <w:rFonts w:cs="Arial"/>
                <w:szCs w:val="18"/>
                <w:lang w:val="en-GB"/>
              </w:rPr>
              <w:t>0</w:t>
            </w:r>
          </w:p>
        </w:tc>
        <w:tc>
          <w:tcPr>
            <w:tcW w:w="275" w:type="pct"/>
            <w:shd w:val="clear" w:color="auto" w:fill="FFFFFF"/>
          </w:tcPr>
          <w:p w14:paraId="416EFC7F" w14:textId="77777777" w:rsidR="006034DC" w:rsidRDefault="00551235">
            <w:pPr>
              <w:pStyle w:val="CETBodytext"/>
              <w:ind w:right="-1"/>
              <w:rPr>
                <w:rFonts w:cs="Arial"/>
                <w:szCs w:val="18"/>
                <w:lang w:val="en-GB"/>
              </w:rPr>
            </w:pPr>
            <w:r>
              <w:rPr>
                <w:rFonts w:cs="Arial"/>
                <w:szCs w:val="18"/>
                <w:lang w:val="en-GB"/>
              </w:rPr>
              <w:t>+1</w:t>
            </w:r>
          </w:p>
        </w:tc>
      </w:tr>
      <w:tr w:rsidR="006034DC" w14:paraId="62E019C4" w14:textId="77777777">
        <w:tc>
          <w:tcPr>
            <w:tcW w:w="1382" w:type="pct"/>
            <w:shd w:val="clear" w:color="auto" w:fill="FFFFFF"/>
          </w:tcPr>
          <w:p w14:paraId="06A4A9C1" w14:textId="77777777" w:rsidR="006034DC" w:rsidRDefault="00551235">
            <w:pPr>
              <w:pStyle w:val="CETBodytext"/>
              <w:rPr>
                <w:lang w:val="en-GB"/>
              </w:rPr>
            </w:pPr>
            <w:r>
              <w:rPr>
                <w:lang w:val="en-GB"/>
              </w:rPr>
              <w:t>A</w:t>
            </w:r>
          </w:p>
        </w:tc>
        <w:tc>
          <w:tcPr>
            <w:tcW w:w="1822" w:type="pct"/>
            <w:shd w:val="clear" w:color="auto" w:fill="FFFFFF"/>
          </w:tcPr>
          <w:p w14:paraId="761117FE" w14:textId="77777777" w:rsidR="006034DC" w:rsidRDefault="00551235">
            <w:pPr>
              <w:pStyle w:val="CETBodytext"/>
              <w:rPr>
                <w:lang w:val="en-GB"/>
              </w:rPr>
            </w:pPr>
            <w:r>
              <w:rPr>
                <w:lang w:val="en-GB"/>
              </w:rPr>
              <w:t>Refining time</w:t>
            </w:r>
          </w:p>
        </w:tc>
        <w:tc>
          <w:tcPr>
            <w:tcW w:w="1062" w:type="pct"/>
            <w:shd w:val="clear" w:color="auto" w:fill="FFFFFF"/>
          </w:tcPr>
          <w:p w14:paraId="08D26509" w14:textId="77777777" w:rsidR="006034DC" w:rsidRDefault="00551235">
            <w:pPr>
              <w:pStyle w:val="CETBodytext"/>
              <w:rPr>
                <w:lang w:val="en-GB"/>
              </w:rPr>
            </w:pPr>
            <w:r>
              <w:rPr>
                <w:lang w:val="en-GB"/>
              </w:rPr>
              <w:t>min</w:t>
            </w:r>
          </w:p>
        </w:tc>
        <w:tc>
          <w:tcPr>
            <w:tcW w:w="230" w:type="pct"/>
            <w:shd w:val="clear" w:color="auto" w:fill="FFFFFF"/>
          </w:tcPr>
          <w:p w14:paraId="0A7AC431" w14:textId="77777777" w:rsidR="006034DC" w:rsidRDefault="00551235">
            <w:pPr>
              <w:pStyle w:val="CETBodytext"/>
              <w:ind w:right="-1"/>
              <w:rPr>
                <w:rFonts w:cs="Arial"/>
                <w:szCs w:val="18"/>
                <w:lang w:val="en-GB"/>
              </w:rPr>
            </w:pPr>
            <w:r>
              <w:rPr>
                <w:rFonts w:cs="Arial"/>
                <w:szCs w:val="18"/>
                <w:lang w:val="en-GB"/>
              </w:rPr>
              <w:t>60</w:t>
            </w:r>
          </w:p>
        </w:tc>
        <w:tc>
          <w:tcPr>
            <w:tcW w:w="230" w:type="pct"/>
            <w:shd w:val="clear" w:color="auto" w:fill="FFFFFF"/>
          </w:tcPr>
          <w:p w14:paraId="22C54EF0" w14:textId="77777777" w:rsidR="006034DC" w:rsidRDefault="00551235">
            <w:pPr>
              <w:pStyle w:val="CETBodytext"/>
              <w:ind w:right="-1"/>
              <w:rPr>
                <w:rFonts w:cs="Arial"/>
                <w:szCs w:val="18"/>
                <w:lang w:val="en-GB"/>
              </w:rPr>
            </w:pPr>
            <w:r>
              <w:rPr>
                <w:rFonts w:cs="Arial"/>
                <w:szCs w:val="18"/>
                <w:lang w:val="en-GB"/>
              </w:rPr>
              <w:t>80</w:t>
            </w:r>
          </w:p>
        </w:tc>
        <w:tc>
          <w:tcPr>
            <w:tcW w:w="275" w:type="pct"/>
            <w:shd w:val="clear" w:color="auto" w:fill="FFFFFF"/>
          </w:tcPr>
          <w:p w14:paraId="06721D71" w14:textId="77777777" w:rsidR="006034DC" w:rsidRDefault="00551235">
            <w:pPr>
              <w:pStyle w:val="CETBodytext"/>
              <w:ind w:right="-1"/>
              <w:rPr>
                <w:rFonts w:cs="Arial"/>
                <w:szCs w:val="18"/>
                <w:lang w:val="en-GB"/>
              </w:rPr>
            </w:pPr>
            <w:r>
              <w:rPr>
                <w:rFonts w:cs="Arial"/>
                <w:szCs w:val="18"/>
                <w:lang w:val="en-GB"/>
              </w:rPr>
              <w:t>100</w:t>
            </w:r>
          </w:p>
        </w:tc>
      </w:tr>
      <w:tr w:rsidR="006034DC" w14:paraId="0C0BA1E9" w14:textId="77777777">
        <w:tc>
          <w:tcPr>
            <w:tcW w:w="1382" w:type="pct"/>
            <w:shd w:val="clear" w:color="auto" w:fill="FFFFFF"/>
          </w:tcPr>
          <w:p w14:paraId="4A496A5D" w14:textId="77777777" w:rsidR="006034DC" w:rsidRDefault="00551235">
            <w:pPr>
              <w:pStyle w:val="CETBodytext"/>
              <w:rPr>
                <w:lang w:val="en-GB"/>
              </w:rPr>
            </w:pPr>
            <w:r>
              <w:rPr>
                <w:lang w:val="en-GB"/>
              </w:rPr>
              <w:t>B</w:t>
            </w:r>
          </w:p>
        </w:tc>
        <w:tc>
          <w:tcPr>
            <w:tcW w:w="1822" w:type="pct"/>
            <w:shd w:val="clear" w:color="auto" w:fill="FFFFFF"/>
          </w:tcPr>
          <w:p w14:paraId="7D825CC8" w14:textId="77777777" w:rsidR="006034DC" w:rsidRDefault="00551235">
            <w:pPr>
              <w:pStyle w:val="CETBodytext"/>
              <w:rPr>
                <w:lang w:val="en-GB"/>
              </w:rPr>
            </w:pPr>
            <w:r>
              <w:rPr>
                <w:lang w:val="en-GB"/>
              </w:rPr>
              <w:t>Reaction temperature</w:t>
            </w:r>
          </w:p>
        </w:tc>
        <w:tc>
          <w:tcPr>
            <w:tcW w:w="1062" w:type="pct"/>
            <w:shd w:val="clear" w:color="auto" w:fill="FFFFFF"/>
          </w:tcPr>
          <w:p w14:paraId="0D2E4D2F" w14:textId="77777777" w:rsidR="006034DC" w:rsidRDefault="00551235">
            <w:pPr>
              <w:pStyle w:val="CETBodytext"/>
              <w:rPr>
                <w:lang w:val="en-GB"/>
              </w:rPr>
            </w:pPr>
            <w:r>
              <w:rPr>
                <w:rFonts w:ascii="Times New Roman" w:hAnsi="Times New Roman"/>
                <w:lang w:val="en-GB"/>
              </w:rPr>
              <w:t>℃</w:t>
            </w:r>
          </w:p>
        </w:tc>
        <w:tc>
          <w:tcPr>
            <w:tcW w:w="230" w:type="pct"/>
            <w:shd w:val="clear" w:color="auto" w:fill="FFFFFF"/>
          </w:tcPr>
          <w:p w14:paraId="4453C689" w14:textId="77777777" w:rsidR="006034DC" w:rsidRDefault="00551235">
            <w:pPr>
              <w:pStyle w:val="CETBodytext"/>
              <w:ind w:right="-1"/>
              <w:rPr>
                <w:rFonts w:cs="Arial"/>
                <w:szCs w:val="18"/>
                <w:lang w:val="en-GB"/>
              </w:rPr>
            </w:pPr>
            <w:r>
              <w:rPr>
                <w:rFonts w:cs="Arial"/>
                <w:szCs w:val="18"/>
                <w:lang w:val="en-GB"/>
              </w:rPr>
              <w:t>40</w:t>
            </w:r>
          </w:p>
        </w:tc>
        <w:tc>
          <w:tcPr>
            <w:tcW w:w="230" w:type="pct"/>
            <w:shd w:val="clear" w:color="auto" w:fill="FFFFFF"/>
          </w:tcPr>
          <w:p w14:paraId="5CF45407" w14:textId="77777777" w:rsidR="006034DC" w:rsidRDefault="00551235">
            <w:pPr>
              <w:pStyle w:val="CETBodytext"/>
              <w:ind w:right="-1"/>
              <w:rPr>
                <w:rFonts w:cs="Arial"/>
                <w:szCs w:val="18"/>
                <w:lang w:val="en-GB"/>
              </w:rPr>
            </w:pPr>
            <w:r>
              <w:rPr>
                <w:rFonts w:cs="Arial"/>
                <w:szCs w:val="18"/>
                <w:lang w:val="en-GB"/>
              </w:rPr>
              <w:t>60</w:t>
            </w:r>
          </w:p>
        </w:tc>
        <w:tc>
          <w:tcPr>
            <w:tcW w:w="275" w:type="pct"/>
            <w:shd w:val="clear" w:color="auto" w:fill="FFFFFF"/>
          </w:tcPr>
          <w:p w14:paraId="24487DB7" w14:textId="77777777" w:rsidR="006034DC" w:rsidRDefault="00551235">
            <w:pPr>
              <w:pStyle w:val="CETBodytext"/>
              <w:ind w:right="-1"/>
              <w:rPr>
                <w:rFonts w:cs="Arial"/>
                <w:szCs w:val="18"/>
                <w:lang w:val="en-GB"/>
              </w:rPr>
            </w:pPr>
            <w:r>
              <w:rPr>
                <w:rFonts w:cs="Arial"/>
                <w:szCs w:val="18"/>
                <w:lang w:val="en-GB"/>
              </w:rPr>
              <w:t>80</w:t>
            </w:r>
          </w:p>
        </w:tc>
      </w:tr>
      <w:tr w:rsidR="006034DC" w14:paraId="4109F40C" w14:textId="77777777">
        <w:tc>
          <w:tcPr>
            <w:tcW w:w="1382" w:type="pct"/>
            <w:shd w:val="clear" w:color="auto" w:fill="FFFFFF"/>
          </w:tcPr>
          <w:p w14:paraId="354F259C" w14:textId="77777777" w:rsidR="006034DC" w:rsidRDefault="00551235">
            <w:pPr>
              <w:pStyle w:val="CETBodytext"/>
              <w:rPr>
                <w:lang w:val="en-GB"/>
              </w:rPr>
            </w:pPr>
            <w:r>
              <w:rPr>
                <w:lang w:val="en-GB"/>
              </w:rPr>
              <w:t>C</w:t>
            </w:r>
          </w:p>
        </w:tc>
        <w:tc>
          <w:tcPr>
            <w:tcW w:w="1822" w:type="pct"/>
            <w:shd w:val="clear" w:color="auto" w:fill="FFFFFF"/>
          </w:tcPr>
          <w:p w14:paraId="3862B3D4" w14:textId="77777777" w:rsidR="006034DC" w:rsidRDefault="00551235">
            <w:pPr>
              <w:pStyle w:val="CETBodytext"/>
              <w:rPr>
                <w:lang w:val="en-GB"/>
              </w:rPr>
            </w:pPr>
            <w:r>
              <w:rPr>
                <w:lang w:val="en-GB"/>
              </w:rPr>
              <w:t>Solvent: Waste Oil</w:t>
            </w:r>
          </w:p>
        </w:tc>
        <w:tc>
          <w:tcPr>
            <w:tcW w:w="1062" w:type="pct"/>
            <w:shd w:val="clear" w:color="auto" w:fill="FFFFFF"/>
          </w:tcPr>
          <w:p w14:paraId="3D99A3E8" w14:textId="77777777" w:rsidR="006034DC" w:rsidRDefault="00551235">
            <w:pPr>
              <w:pStyle w:val="CETBodytext"/>
              <w:rPr>
                <w:lang w:val="en-GB"/>
              </w:rPr>
            </w:pPr>
            <w:r>
              <w:rPr>
                <w:lang w:val="en-GB"/>
              </w:rPr>
              <w:t>-</w:t>
            </w:r>
          </w:p>
        </w:tc>
        <w:tc>
          <w:tcPr>
            <w:tcW w:w="230" w:type="pct"/>
            <w:shd w:val="clear" w:color="auto" w:fill="FFFFFF"/>
          </w:tcPr>
          <w:p w14:paraId="4A31D798" w14:textId="77777777" w:rsidR="006034DC" w:rsidRDefault="00551235">
            <w:pPr>
              <w:pStyle w:val="CETBodytext"/>
              <w:ind w:right="-1"/>
              <w:rPr>
                <w:rFonts w:cs="Arial"/>
                <w:szCs w:val="18"/>
                <w:lang w:val="en-GB"/>
              </w:rPr>
            </w:pPr>
            <w:r>
              <w:rPr>
                <w:rFonts w:cs="Arial"/>
                <w:szCs w:val="18"/>
                <w:lang w:val="en-GB"/>
              </w:rPr>
              <w:t>3:1</w:t>
            </w:r>
          </w:p>
        </w:tc>
        <w:tc>
          <w:tcPr>
            <w:tcW w:w="230" w:type="pct"/>
            <w:shd w:val="clear" w:color="auto" w:fill="FFFFFF"/>
          </w:tcPr>
          <w:p w14:paraId="7528B3AA" w14:textId="77777777" w:rsidR="006034DC" w:rsidRDefault="00551235">
            <w:pPr>
              <w:pStyle w:val="CETBodytext"/>
              <w:ind w:right="-1"/>
              <w:rPr>
                <w:rFonts w:cs="Arial"/>
                <w:szCs w:val="18"/>
                <w:lang w:val="en-GB"/>
              </w:rPr>
            </w:pPr>
            <w:r>
              <w:rPr>
                <w:rFonts w:cs="Arial"/>
                <w:szCs w:val="18"/>
                <w:lang w:val="en-GB"/>
              </w:rPr>
              <w:t>5:1</w:t>
            </w:r>
          </w:p>
        </w:tc>
        <w:tc>
          <w:tcPr>
            <w:tcW w:w="275" w:type="pct"/>
            <w:shd w:val="clear" w:color="auto" w:fill="FFFFFF"/>
          </w:tcPr>
          <w:p w14:paraId="35816B9B" w14:textId="77777777" w:rsidR="006034DC" w:rsidRDefault="00551235">
            <w:pPr>
              <w:pStyle w:val="CETBodytext"/>
              <w:ind w:right="-1"/>
              <w:rPr>
                <w:rFonts w:cs="Arial"/>
                <w:szCs w:val="18"/>
                <w:lang w:val="en-GB"/>
              </w:rPr>
            </w:pPr>
            <w:r>
              <w:rPr>
                <w:rFonts w:cs="Arial"/>
                <w:szCs w:val="18"/>
                <w:lang w:val="en-GB"/>
              </w:rPr>
              <w:t>7:1</w:t>
            </w:r>
          </w:p>
        </w:tc>
      </w:tr>
      <w:tr w:rsidR="006034DC" w14:paraId="6F85F499" w14:textId="77777777">
        <w:tc>
          <w:tcPr>
            <w:tcW w:w="1382" w:type="pct"/>
            <w:shd w:val="clear" w:color="auto" w:fill="FFFFFF"/>
          </w:tcPr>
          <w:p w14:paraId="35E448ED" w14:textId="77777777" w:rsidR="006034DC" w:rsidRDefault="00551235">
            <w:pPr>
              <w:pStyle w:val="CETBodytext"/>
              <w:ind w:right="-1"/>
              <w:rPr>
                <w:rFonts w:cs="Arial"/>
                <w:szCs w:val="18"/>
                <w:lang w:val="en-GB"/>
              </w:rPr>
            </w:pPr>
            <w:r>
              <w:rPr>
                <w:rFonts w:cs="Arial"/>
                <w:szCs w:val="18"/>
                <w:lang w:val="en-GB"/>
              </w:rPr>
              <w:t>D</w:t>
            </w:r>
          </w:p>
        </w:tc>
        <w:tc>
          <w:tcPr>
            <w:tcW w:w="1822" w:type="pct"/>
            <w:shd w:val="clear" w:color="auto" w:fill="FFFFFF"/>
          </w:tcPr>
          <w:p w14:paraId="11CE7A67" w14:textId="77777777" w:rsidR="006034DC" w:rsidRDefault="00551235">
            <w:pPr>
              <w:pStyle w:val="CETBodytext"/>
              <w:ind w:right="-1"/>
              <w:rPr>
                <w:rFonts w:cs="Arial"/>
                <w:szCs w:val="18"/>
                <w:lang w:val="en-GB"/>
              </w:rPr>
            </w:pPr>
            <w:r>
              <w:rPr>
                <w:rFonts w:cs="Arial"/>
                <w:szCs w:val="18"/>
                <w:lang w:val="en-GB"/>
              </w:rPr>
              <w:t>Flocculant Concentration</w:t>
            </w:r>
          </w:p>
        </w:tc>
        <w:tc>
          <w:tcPr>
            <w:tcW w:w="1062" w:type="pct"/>
            <w:shd w:val="clear" w:color="auto" w:fill="FFFFFF"/>
          </w:tcPr>
          <w:p w14:paraId="393A6DC7" w14:textId="77777777" w:rsidR="006034DC" w:rsidRDefault="00551235">
            <w:pPr>
              <w:pStyle w:val="CETBodytext"/>
              <w:ind w:right="-1"/>
              <w:rPr>
                <w:rFonts w:cs="Arial"/>
                <w:szCs w:val="18"/>
                <w:lang w:val="en-GB"/>
              </w:rPr>
            </w:pPr>
            <w:r>
              <w:rPr>
                <w:rFonts w:cs="Arial"/>
                <w:szCs w:val="18"/>
                <w:lang w:val="en-GB"/>
              </w:rPr>
              <w:t>g/kg of solvent</w:t>
            </w:r>
          </w:p>
        </w:tc>
        <w:tc>
          <w:tcPr>
            <w:tcW w:w="230" w:type="pct"/>
            <w:shd w:val="clear" w:color="auto" w:fill="FFFFFF"/>
          </w:tcPr>
          <w:p w14:paraId="11923327" w14:textId="77777777" w:rsidR="006034DC" w:rsidRDefault="00551235">
            <w:pPr>
              <w:pStyle w:val="CETBodytext"/>
              <w:ind w:right="-1"/>
              <w:rPr>
                <w:rFonts w:cs="Arial"/>
                <w:szCs w:val="18"/>
                <w:lang w:val="en-GB"/>
              </w:rPr>
            </w:pPr>
            <w:r>
              <w:rPr>
                <w:rFonts w:cs="Arial"/>
                <w:szCs w:val="18"/>
                <w:lang w:val="en-GB"/>
              </w:rPr>
              <w:t>1</w:t>
            </w:r>
          </w:p>
        </w:tc>
        <w:tc>
          <w:tcPr>
            <w:tcW w:w="230" w:type="pct"/>
            <w:shd w:val="clear" w:color="auto" w:fill="FFFFFF"/>
          </w:tcPr>
          <w:p w14:paraId="30C11A10" w14:textId="77777777" w:rsidR="006034DC" w:rsidRDefault="00551235">
            <w:pPr>
              <w:pStyle w:val="CETBodytext"/>
              <w:ind w:right="-1"/>
              <w:rPr>
                <w:rFonts w:cs="Arial"/>
                <w:szCs w:val="18"/>
                <w:lang w:val="en-GB"/>
              </w:rPr>
            </w:pPr>
            <w:r>
              <w:rPr>
                <w:rFonts w:cs="Arial"/>
                <w:szCs w:val="18"/>
                <w:lang w:val="en-GB"/>
              </w:rPr>
              <w:t>2</w:t>
            </w:r>
          </w:p>
        </w:tc>
        <w:tc>
          <w:tcPr>
            <w:tcW w:w="275" w:type="pct"/>
            <w:shd w:val="clear" w:color="auto" w:fill="FFFFFF"/>
          </w:tcPr>
          <w:p w14:paraId="7B11A8CF" w14:textId="77777777" w:rsidR="006034DC" w:rsidRDefault="00551235">
            <w:pPr>
              <w:pStyle w:val="CETBodytext"/>
              <w:ind w:right="-1"/>
              <w:rPr>
                <w:rFonts w:cs="Arial"/>
                <w:szCs w:val="18"/>
                <w:lang w:val="en-GB"/>
              </w:rPr>
            </w:pPr>
            <w:r>
              <w:rPr>
                <w:rFonts w:cs="Arial"/>
                <w:szCs w:val="18"/>
                <w:lang w:val="en-GB"/>
              </w:rPr>
              <w:t>3</w:t>
            </w:r>
          </w:p>
        </w:tc>
      </w:tr>
    </w:tbl>
    <w:p w14:paraId="010584E7" w14:textId="77777777" w:rsidR="006034DC" w:rsidRDefault="00551235">
      <w:pPr>
        <w:pStyle w:val="CETTabletitle"/>
      </w:pPr>
      <w:r>
        <w:t>Table 2: Experimental Design matrix for maximising percentage yield of recovered oil using Taguchi L9</w:t>
      </w:r>
    </w:p>
    <w:tbl>
      <w:tblPr>
        <w:tblW w:w="5000" w:type="pct"/>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456"/>
        <w:gridCol w:w="1119"/>
        <w:gridCol w:w="1459"/>
        <w:gridCol w:w="1149"/>
        <w:gridCol w:w="1954"/>
        <w:gridCol w:w="1320"/>
        <w:gridCol w:w="1330"/>
      </w:tblGrid>
      <w:tr w:rsidR="006034DC" w14:paraId="16ACF0FA" w14:textId="77777777">
        <w:tc>
          <w:tcPr>
            <w:tcW w:w="259" w:type="pct"/>
            <w:tcBorders>
              <w:top w:val="single" w:sz="12" w:space="0" w:color="008000"/>
              <w:bottom w:val="single" w:sz="6" w:space="0" w:color="008000"/>
            </w:tcBorders>
            <w:shd w:val="clear" w:color="auto" w:fill="FFFFFF"/>
          </w:tcPr>
          <w:p w14:paraId="4BC83403" w14:textId="77777777" w:rsidR="006034DC" w:rsidRDefault="00551235">
            <w:pPr>
              <w:pStyle w:val="CETBodytext"/>
              <w:rPr>
                <w:lang w:val="en-GB"/>
              </w:rPr>
            </w:pPr>
            <w:r>
              <w:rPr>
                <w:lang w:val="en-GB"/>
              </w:rPr>
              <w:t xml:space="preserve">Run No. </w:t>
            </w:r>
          </w:p>
        </w:tc>
        <w:tc>
          <w:tcPr>
            <w:tcW w:w="636" w:type="pct"/>
            <w:tcBorders>
              <w:top w:val="single" w:sz="12" w:space="0" w:color="008000"/>
              <w:bottom w:val="single" w:sz="6" w:space="0" w:color="008000"/>
            </w:tcBorders>
            <w:shd w:val="clear" w:color="auto" w:fill="FFFFFF"/>
          </w:tcPr>
          <w:p w14:paraId="5A80235E" w14:textId="77777777" w:rsidR="006034DC" w:rsidRDefault="00551235">
            <w:pPr>
              <w:pStyle w:val="CETBodytext"/>
              <w:rPr>
                <w:lang w:val="en-GB"/>
              </w:rPr>
            </w:pPr>
            <w:r>
              <w:rPr>
                <w:lang w:val="en-GB"/>
              </w:rPr>
              <w:t>Solvent: waste</w:t>
            </w:r>
          </w:p>
          <w:p w14:paraId="00D9AF02" w14:textId="77777777" w:rsidR="006034DC" w:rsidRDefault="00551235">
            <w:pPr>
              <w:pStyle w:val="CETBodytext"/>
              <w:rPr>
                <w:lang w:val="en-GB"/>
              </w:rPr>
            </w:pPr>
            <w:r>
              <w:rPr>
                <w:lang w:val="en-GB"/>
              </w:rPr>
              <w:t>oil (w/w)</w:t>
            </w:r>
          </w:p>
        </w:tc>
        <w:tc>
          <w:tcPr>
            <w:tcW w:w="830" w:type="pct"/>
            <w:tcBorders>
              <w:top w:val="single" w:sz="12" w:space="0" w:color="008000"/>
              <w:bottom w:val="single" w:sz="6" w:space="0" w:color="008000"/>
            </w:tcBorders>
            <w:shd w:val="clear" w:color="auto" w:fill="FFFFFF"/>
          </w:tcPr>
          <w:p w14:paraId="3A1B9BBF" w14:textId="77777777" w:rsidR="006034DC" w:rsidRDefault="00551235">
            <w:pPr>
              <w:pStyle w:val="CETBodytext"/>
              <w:rPr>
                <w:lang w:val="en-GB"/>
              </w:rPr>
            </w:pPr>
            <w:r>
              <w:rPr>
                <w:lang w:val="en-GB"/>
              </w:rPr>
              <w:t xml:space="preserve">Reaction Temperature </w:t>
            </w:r>
          </w:p>
          <w:p w14:paraId="5032B4D2" w14:textId="77777777" w:rsidR="006034DC" w:rsidRDefault="00551235">
            <w:pPr>
              <w:pStyle w:val="CETBodytext"/>
              <w:rPr>
                <w:lang w:val="en-GB"/>
              </w:rPr>
            </w:pPr>
            <w:r>
              <w:rPr>
                <w:lang w:val="en-GB"/>
              </w:rPr>
              <w:t>(°C)</w:t>
            </w:r>
          </w:p>
        </w:tc>
        <w:tc>
          <w:tcPr>
            <w:tcW w:w="654" w:type="pct"/>
            <w:tcBorders>
              <w:top w:val="single" w:sz="12" w:space="0" w:color="008000"/>
              <w:bottom w:val="single" w:sz="6" w:space="0" w:color="008000"/>
            </w:tcBorders>
            <w:shd w:val="clear" w:color="auto" w:fill="FFFFFF"/>
          </w:tcPr>
          <w:p w14:paraId="444FB7B4" w14:textId="77777777" w:rsidR="006034DC" w:rsidRDefault="00551235">
            <w:pPr>
              <w:pStyle w:val="CETBodytext"/>
              <w:ind w:right="-1"/>
              <w:rPr>
                <w:rFonts w:cs="Arial"/>
                <w:szCs w:val="18"/>
                <w:lang w:val="en-GB"/>
              </w:rPr>
            </w:pPr>
            <w:r>
              <w:rPr>
                <w:rFonts w:cs="Arial"/>
                <w:szCs w:val="18"/>
                <w:lang w:val="en-GB"/>
              </w:rPr>
              <w:t xml:space="preserve">Reaction </w:t>
            </w:r>
          </w:p>
          <w:p w14:paraId="41473EF2" w14:textId="77777777" w:rsidR="006034DC" w:rsidRDefault="00551235">
            <w:pPr>
              <w:pStyle w:val="CETBodytext"/>
              <w:ind w:right="-1"/>
              <w:rPr>
                <w:rFonts w:cs="Arial"/>
                <w:szCs w:val="18"/>
                <w:lang w:val="en-GB"/>
              </w:rPr>
            </w:pPr>
            <w:r>
              <w:rPr>
                <w:rFonts w:cs="Arial"/>
                <w:szCs w:val="18"/>
                <w:lang w:val="en-GB"/>
              </w:rPr>
              <w:t xml:space="preserve">Time </w:t>
            </w:r>
          </w:p>
          <w:p w14:paraId="6546997C" w14:textId="77777777" w:rsidR="006034DC" w:rsidRDefault="00551235">
            <w:pPr>
              <w:pStyle w:val="CETBodytext"/>
              <w:ind w:right="-1"/>
              <w:rPr>
                <w:rFonts w:cs="Arial"/>
                <w:szCs w:val="18"/>
                <w:lang w:val="en-GB"/>
              </w:rPr>
            </w:pPr>
            <w:r>
              <w:rPr>
                <w:rFonts w:cs="Arial"/>
                <w:szCs w:val="18"/>
                <w:lang w:val="en-GB"/>
              </w:rPr>
              <w:t>(minute)</w:t>
            </w:r>
          </w:p>
        </w:tc>
        <w:tc>
          <w:tcPr>
            <w:tcW w:w="1112" w:type="pct"/>
            <w:tcBorders>
              <w:top w:val="single" w:sz="12" w:space="0" w:color="008000"/>
              <w:bottom w:val="single" w:sz="6" w:space="0" w:color="008000"/>
            </w:tcBorders>
            <w:shd w:val="clear" w:color="auto" w:fill="FFFFFF"/>
          </w:tcPr>
          <w:p w14:paraId="607B2680" w14:textId="77777777" w:rsidR="006034DC" w:rsidRDefault="00551235">
            <w:pPr>
              <w:pStyle w:val="CETBodytext"/>
              <w:ind w:right="-1"/>
              <w:rPr>
                <w:rFonts w:cs="Arial"/>
                <w:szCs w:val="18"/>
                <w:lang w:val="en-GB"/>
              </w:rPr>
            </w:pPr>
            <w:r>
              <w:rPr>
                <w:rFonts w:cs="Arial"/>
                <w:szCs w:val="18"/>
                <w:lang w:val="en-GB"/>
              </w:rPr>
              <w:t xml:space="preserve">Flocculant Concentration </w:t>
            </w:r>
          </w:p>
          <w:p w14:paraId="6F80F163" w14:textId="77777777" w:rsidR="006034DC" w:rsidRDefault="00551235">
            <w:pPr>
              <w:pStyle w:val="CETBodytext"/>
              <w:ind w:right="-1"/>
              <w:rPr>
                <w:rFonts w:cs="Arial"/>
                <w:szCs w:val="18"/>
                <w:lang w:val="en-GB"/>
              </w:rPr>
            </w:pPr>
            <w:r>
              <w:rPr>
                <w:rFonts w:cs="Arial"/>
                <w:szCs w:val="18"/>
                <w:lang w:val="en-GB"/>
              </w:rPr>
              <w:t>(g/kg of solvent)</w:t>
            </w:r>
          </w:p>
        </w:tc>
        <w:tc>
          <w:tcPr>
            <w:tcW w:w="751" w:type="pct"/>
            <w:tcBorders>
              <w:top w:val="single" w:sz="12" w:space="0" w:color="008000"/>
              <w:bottom w:val="single" w:sz="6" w:space="0" w:color="008000"/>
            </w:tcBorders>
            <w:shd w:val="clear" w:color="auto" w:fill="FFFFFF"/>
          </w:tcPr>
          <w:p w14:paraId="40B94A97" w14:textId="77777777" w:rsidR="006034DC" w:rsidRDefault="00551235">
            <w:pPr>
              <w:pStyle w:val="CETBodytext"/>
              <w:ind w:right="-1"/>
              <w:rPr>
                <w:rFonts w:cs="Arial"/>
                <w:szCs w:val="18"/>
                <w:lang w:val="en-GB"/>
              </w:rPr>
            </w:pPr>
            <w:r>
              <w:rPr>
                <w:rFonts w:cs="Arial"/>
                <w:szCs w:val="18"/>
                <w:lang w:val="en-GB"/>
              </w:rPr>
              <w:t xml:space="preserve">Yield of </w:t>
            </w:r>
          </w:p>
          <w:p w14:paraId="1F6F64CA" w14:textId="77777777" w:rsidR="006034DC" w:rsidRDefault="00551235">
            <w:pPr>
              <w:pStyle w:val="CETBodytext"/>
              <w:ind w:right="-1"/>
              <w:rPr>
                <w:rFonts w:cs="Arial"/>
                <w:szCs w:val="18"/>
                <w:lang w:val="en-GB"/>
              </w:rPr>
            </w:pPr>
            <w:r>
              <w:rPr>
                <w:rFonts w:cs="Arial"/>
                <w:szCs w:val="18"/>
                <w:lang w:val="en-GB"/>
              </w:rPr>
              <w:t>refined oil (%)</w:t>
            </w:r>
          </w:p>
          <w:p w14:paraId="0F7A5C5F" w14:textId="77777777" w:rsidR="006034DC" w:rsidRDefault="00551235">
            <w:pPr>
              <w:pStyle w:val="CETBodytext"/>
              <w:ind w:right="-1"/>
              <w:rPr>
                <w:rFonts w:cs="Arial"/>
                <w:szCs w:val="18"/>
                <w:lang w:val="en-GB"/>
              </w:rPr>
            </w:pPr>
            <w:r>
              <w:rPr>
                <w:rFonts w:cs="Arial"/>
                <w:szCs w:val="18"/>
                <w:lang w:val="en-GB"/>
              </w:rPr>
              <w:t>Experimental value</w:t>
            </w:r>
          </w:p>
        </w:tc>
        <w:tc>
          <w:tcPr>
            <w:tcW w:w="757" w:type="pct"/>
            <w:tcBorders>
              <w:top w:val="single" w:sz="12" w:space="0" w:color="008000"/>
              <w:bottom w:val="single" w:sz="6" w:space="0" w:color="008000"/>
            </w:tcBorders>
            <w:shd w:val="clear" w:color="auto" w:fill="FFFFFF"/>
          </w:tcPr>
          <w:p w14:paraId="64366AD2" w14:textId="77777777" w:rsidR="006034DC" w:rsidRDefault="00551235">
            <w:pPr>
              <w:pStyle w:val="CETBodytext"/>
              <w:ind w:right="-1"/>
              <w:rPr>
                <w:rFonts w:cs="Arial"/>
                <w:szCs w:val="18"/>
                <w:lang w:val="en-GB"/>
              </w:rPr>
            </w:pPr>
            <w:r>
              <w:rPr>
                <w:rFonts w:cs="Arial"/>
                <w:szCs w:val="18"/>
                <w:lang w:val="en-GB"/>
              </w:rPr>
              <w:t>Signal-to-noise ratio of refined oil</w:t>
            </w:r>
          </w:p>
        </w:tc>
      </w:tr>
      <w:tr w:rsidR="006034DC" w14:paraId="6C8774B5" w14:textId="77777777">
        <w:tc>
          <w:tcPr>
            <w:tcW w:w="259" w:type="pct"/>
            <w:shd w:val="clear" w:color="auto" w:fill="FFFFFF"/>
          </w:tcPr>
          <w:p w14:paraId="03A575E0" w14:textId="77777777" w:rsidR="006034DC" w:rsidRDefault="00551235">
            <w:pPr>
              <w:pStyle w:val="CETBodytext"/>
              <w:rPr>
                <w:lang w:val="en-GB"/>
              </w:rPr>
            </w:pPr>
            <w:r>
              <w:rPr>
                <w:lang w:val="en-GB"/>
              </w:rPr>
              <w:t>1</w:t>
            </w:r>
          </w:p>
        </w:tc>
        <w:tc>
          <w:tcPr>
            <w:tcW w:w="636" w:type="pct"/>
            <w:shd w:val="clear" w:color="auto" w:fill="FFFFFF"/>
          </w:tcPr>
          <w:p w14:paraId="7DA7B7B0" w14:textId="77777777" w:rsidR="006034DC" w:rsidRDefault="00551235">
            <w:pPr>
              <w:pStyle w:val="CETBodytext"/>
              <w:rPr>
                <w:lang w:val="en-GB"/>
              </w:rPr>
            </w:pPr>
            <w:r>
              <w:rPr>
                <w:lang w:val="en-GB"/>
              </w:rPr>
              <w:t>5:1</w:t>
            </w:r>
          </w:p>
        </w:tc>
        <w:tc>
          <w:tcPr>
            <w:tcW w:w="830" w:type="pct"/>
            <w:shd w:val="clear" w:color="auto" w:fill="FFFFFF"/>
          </w:tcPr>
          <w:p w14:paraId="263EC650" w14:textId="77777777" w:rsidR="006034DC" w:rsidRDefault="00551235">
            <w:pPr>
              <w:pStyle w:val="CETBodytext"/>
              <w:rPr>
                <w:lang w:val="en-GB"/>
              </w:rPr>
            </w:pPr>
            <w:r>
              <w:rPr>
                <w:lang w:val="en-GB"/>
              </w:rPr>
              <w:t>60</w:t>
            </w:r>
          </w:p>
        </w:tc>
        <w:tc>
          <w:tcPr>
            <w:tcW w:w="654" w:type="pct"/>
            <w:shd w:val="clear" w:color="auto" w:fill="FFFFFF"/>
          </w:tcPr>
          <w:p w14:paraId="514AA9C7" w14:textId="77777777" w:rsidR="006034DC" w:rsidRDefault="00551235">
            <w:pPr>
              <w:pStyle w:val="CETBodytext"/>
              <w:ind w:right="-1"/>
              <w:rPr>
                <w:rFonts w:cs="Arial"/>
                <w:szCs w:val="18"/>
                <w:lang w:val="en-GB"/>
              </w:rPr>
            </w:pPr>
            <w:r>
              <w:rPr>
                <w:rFonts w:cs="Arial"/>
                <w:szCs w:val="18"/>
                <w:lang w:val="en-GB"/>
              </w:rPr>
              <w:t>60</w:t>
            </w:r>
          </w:p>
        </w:tc>
        <w:tc>
          <w:tcPr>
            <w:tcW w:w="1112" w:type="pct"/>
            <w:shd w:val="clear" w:color="auto" w:fill="FFFFFF"/>
          </w:tcPr>
          <w:p w14:paraId="38601268" w14:textId="77777777" w:rsidR="006034DC" w:rsidRDefault="00551235">
            <w:pPr>
              <w:pStyle w:val="CETBodytext"/>
              <w:ind w:right="-1"/>
              <w:rPr>
                <w:rFonts w:cs="Arial"/>
                <w:szCs w:val="18"/>
                <w:lang w:val="en-GB"/>
              </w:rPr>
            </w:pPr>
            <w:r>
              <w:rPr>
                <w:rFonts w:cs="Arial"/>
                <w:szCs w:val="18"/>
                <w:lang w:val="en-GB"/>
              </w:rPr>
              <w:t>2</w:t>
            </w:r>
          </w:p>
        </w:tc>
        <w:tc>
          <w:tcPr>
            <w:tcW w:w="751" w:type="pct"/>
            <w:shd w:val="clear" w:color="auto" w:fill="FFFFFF"/>
          </w:tcPr>
          <w:p w14:paraId="58AEF4D3" w14:textId="77777777" w:rsidR="006034DC" w:rsidRDefault="00551235">
            <w:pPr>
              <w:pStyle w:val="CETBodytext"/>
              <w:ind w:right="-1"/>
              <w:rPr>
                <w:rFonts w:cs="Arial"/>
                <w:szCs w:val="18"/>
                <w:lang w:val="en-GB"/>
              </w:rPr>
            </w:pPr>
            <w:r>
              <w:rPr>
                <w:rFonts w:cs="Arial"/>
                <w:szCs w:val="18"/>
                <w:lang w:val="en-GB"/>
              </w:rPr>
              <w:t>84.13</w:t>
            </w:r>
          </w:p>
        </w:tc>
        <w:tc>
          <w:tcPr>
            <w:tcW w:w="757" w:type="pct"/>
            <w:shd w:val="clear" w:color="auto" w:fill="FFFFFF"/>
          </w:tcPr>
          <w:p w14:paraId="4AF322B6" w14:textId="77777777" w:rsidR="006034DC" w:rsidRDefault="00551235">
            <w:pPr>
              <w:pStyle w:val="CETBodytext"/>
              <w:ind w:right="-1"/>
              <w:rPr>
                <w:rFonts w:cs="Arial"/>
                <w:szCs w:val="18"/>
                <w:lang w:val="en-GB"/>
              </w:rPr>
            </w:pPr>
            <w:r>
              <w:rPr>
                <w:rFonts w:cs="Arial"/>
                <w:szCs w:val="18"/>
                <w:lang w:val="en-GB"/>
              </w:rPr>
              <w:t>38.50</w:t>
            </w:r>
          </w:p>
        </w:tc>
      </w:tr>
      <w:tr w:rsidR="006034DC" w14:paraId="65EB59A8" w14:textId="77777777">
        <w:tc>
          <w:tcPr>
            <w:tcW w:w="259" w:type="pct"/>
            <w:shd w:val="clear" w:color="auto" w:fill="FFFFFF"/>
          </w:tcPr>
          <w:p w14:paraId="239546BB" w14:textId="77777777" w:rsidR="006034DC" w:rsidRDefault="00551235">
            <w:pPr>
              <w:pStyle w:val="CETBodytext"/>
              <w:ind w:right="-1"/>
              <w:rPr>
                <w:rFonts w:cs="Arial"/>
                <w:szCs w:val="18"/>
                <w:lang w:val="en-GB"/>
              </w:rPr>
            </w:pPr>
            <w:r>
              <w:rPr>
                <w:rFonts w:cs="Arial"/>
                <w:szCs w:val="18"/>
                <w:lang w:val="en-GB"/>
              </w:rPr>
              <w:t>2</w:t>
            </w:r>
          </w:p>
        </w:tc>
        <w:tc>
          <w:tcPr>
            <w:tcW w:w="636" w:type="pct"/>
            <w:shd w:val="clear" w:color="auto" w:fill="FFFFFF"/>
          </w:tcPr>
          <w:p w14:paraId="30C73AE4" w14:textId="77777777" w:rsidR="006034DC" w:rsidRDefault="00551235">
            <w:pPr>
              <w:pStyle w:val="CETBodytext"/>
              <w:ind w:right="-1"/>
              <w:rPr>
                <w:rFonts w:cs="Arial"/>
                <w:szCs w:val="18"/>
                <w:lang w:val="en-GB"/>
              </w:rPr>
            </w:pPr>
            <w:r>
              <w:rPr>
                <w:rFonts w:cs="Arial"/>
                <w:szCs w:val="18"/>
                <w:lang w:val="en-GB"/>
              </w:rPr>
              <w:t>7:1</w:t>
            </w:r>
          </w:p>
        </w:tc>
        <w:tc>
          <w:tcPr>
            <w:tcW w:w="830" w:type="pct"/>
            <w:shd w:val="clear" w:color="auto" w:fill="FFFFFF"/>
          </w:tcPr>
          <w:p w14:paraId="662B1731" w14:textId="77777777" w:rsidR="006034DC" w:rsidRDefault="00551235">
            <w:pPr>
              <w:pStyle w:val="CETBodytext"/>
              <w:ind w:right="-1"/>
              <w:rPr>
                <w:rFonts w:cs="Arial"/>
                <w:szCs w:val="18"/>
                <w:lang w:val="en-GB"/>
              </w:rPr>
            </w:pPr>
            <w:r>
              <w:rPr>
                <w:rFonts w:cs="Arial"/>
                <w:szCs w:val="18"/>
                <w:lang w:val="en-GB"/>
              </w:rPr>
              <w:t>60</w:t>
            </w:r>
          </w:p>
        </w:tc>
        <w:tc>
          <w:tcPr>
            <w:tcW w:w="654" w:type="pct"/>
            <w:shd w:val="clear" w:color="auto" w:fill="FFFFFF"/>
          </w:tcPr>
          <w:p w14:paraId="1E258EE4" w14:textId="77777777" w:rsidR="006034DC" w:rsidRDefault="00551235">
            <w:pPr>
              <w:pStyle w:val="CETBodytext"/>
              <w:ind w:right="-1"/>
              <w:rPr>
                <w:rFonts w:cs="Arial"/>
                <w:szCs w:val="18"/>
                <w:lang w:val="en-GB"/>
              </w:rPr>
            </w:pPr>
            <w:r>
              <w:rPr>
                <w:rFonts w:cs="Arial"/>
                <w:szCs w:val="18"/>
                <w:lang w:val="en-GB"/>
              </w:rPr>
              <w:t>80</w:t>
            </w:r>
          </w:p>
        </w:tc>
        <w:tc>
          <w:tcPr>
            <w:tcW w:w="1112" w:type="pct"/>
            <w:shd w:val="clear" w:color="auto" w:fill="FFFFFF"/>
          </w:tcPr>
          <w:p w14:paraId="21E77D5F" w14:textId="77777777" w:rsidR="006034DC" w:rsidRDefault="00551235">
            <w:pPr>
              <w:pStyle w:val="CETBodytext"/>
              <w:ind w:right="-1"/>
              <w:rPr>
                <w:rFonts w:cs="Arial"/>
                <w:szCs w:val="18"/>
                <w:lang w:val="en-GB"/>
              </w:rPr>
            </w:pPr>
            <w:r>
              <w:rPr>
                <w:rFonts w:cs="Arial"/>
                <w:szCs w:val="18"/>
                <w:lang w:val="en-GB"/>
              </w:rPr>
              <w:t>1</w:t>
            </w:r>
          </w:p>
        </w:tc>
        <w:tc>
          <w:tcPr>
            <w:tcW w:w="751" w:type="pct"/>
            <w:shd w:val="clear" w:color="auto" w:fill="FFFFFF"/>
          </w:tcPr>
          <w:p w14:paraId="48C1765C" w14:textId="77777777" w:rsidR="006034DC" w:rsidRDefault="00551235">
            <w:pPr>
              <w:pStyle w:val="CETBodytext"/>
              <w:ind w:right="-1"/>
              <w:rPr>
                <w:rFonts w:cs="Arial"/>
                <w:szCs w:val="18"/>
                <w:lang w:val="en-GB"/>
              </w:rPr>
            </w:pPr>
            <w:r>
              <w:rPr>
                <w:rFonts w:cs="Arial"/>
                <w:szCs w:val="18"/>
                <w:lang w:val="en-GB"/>
              </w:rPr>
              <w:t>82.18</w:t>
            </w:r>
          </w:p>
        </w:tc>
        <w:tc>
          <w:tcPr>
            <w:tcW w:w="757" w:type="pct"/>
            <w:shd w:val="clear" w:color="auto" w:fill="FFFFFF"/>
          </w:tcPr>
          <w:p w14:paraId="40E680E3" w14:textId="77777777" w:rsidR="006034DC" w:rsidRDefault="00551235">
            <w:pPr>
              <w:pStyle w:val="CETBodytext"/>
              <w:ind w:right="-1"/>
              <w:rPr>
                <w:rFonts w:cs="Arial"/>
                <w:szCs w:val="18"/>
                <w:lang w:val="en-GB"/>
              </w:rPr>
            </w:pPr>
            <w:r>
              <w:rPr>
                <w:rFonts w:cs="Arial"/>
                <w:szCs w:val="18"/>
                <w:lang w:val="en-GB"/>
              </w:rPr>
              <w:t>38.30</w:t>
            </w:r>
          </w:p>
        </w:tc>
      </w:tr>
      <w:tr w:rsidR="006034DC" w14:paraId="73441BE2" w14:textId="77777777">
        <w:tc>
          <w:tcPr>
            <w:tcW w:w="259" w:type="pct"/>
            <w:shd w:val="clear" w:color="auto" w:fill="FFFFFF"/>
          </w:tcPr>
          <w:p w14:paraId="10DB7007" w14:textId="77777777" w:rsidR="006034DC" w:rsidRDefault="00551235">
            <w:pPr>
              <w:pStyle w:val="CETBodytext"/>
              <w:ind w:right="-1"/>
              <w:rPr>
                <w:rFonts w:cs="Arial"/>
                <w:szCs w:val="18"/>
                <w:lang w:val="en-GB"/>
              </w:rPr>
            </w:pPr>
            <w:r>
              <w:rPr>
                <w:rFonts w:cs="Arial"/>
                <w:szCs w:val="18"/>
                <w:lang w:val="en-GB"/>
              </w:rPr>
              <w:t>3</w:t>
            </w:r>
          </w:p>
        </w:tc>
        <w:tc>
          <w:tcPr>
            <w:tcW w:w="636" w:type="pct"/>
            <w:shd w:val="clear" w:color="auto" w:fill="FFFFFF"/>
          </w:tcPr>
          <w:p w14:paraId="4D6588E5" w14:textId="77777777" w:rsidR="006034DC" w:rsidRDefault="00551235">
            <w:pPr>
              <w:pStyle w:val="CETBodytext"/>
              <w:ind w:right="-1"/>
              <w:rPr>
                <w:rFonts w:cs="Arial"/>
                <w:szCs w:val="18"/>
                <w:lang w:val="en-GB"/>
              </w:rPr>
            </w:pPr>
            <w:r>
              <w:rPr>
                <w:rFonts w:cs="Arial"/>
                <w:szCs w:val="18"/>
                <w:lang w:val="en-GB"/>
              </w:rPr>
              <w:t>3:1</w:t>
            </w:r>
          </w:p>
        </w:tc>
        <w:tc>
          <w:tcPr>
            <w:tcW w:w="830" w:type="pct"/>
            <w:shd w:val="clear" w:color="auto" w:fill="FFFFFF"/>
          </w:tcPr>
          <w:p w14:paraId="4B41968D" w14:textId="77777777" w:rsidR="006034DC" w:rsidRDefault="00551235">
            <w:pPr>
              <w:pStyle w:val="CETBodytext"/>
              <w:ind w:right="-1"/>
              <w:rPr>
                <w:rFonts w:cs="Arial"/>
                <w:szCs w:val="18"/>
                <w:lang w:val="en-GB"/>
              </w:rPr>
            </w:pPr>
            <w:r>
              <w:rPr>
                <w:rFonts w:cs="Arial"/>
                <w:szCs w:val="18"/>
                <w:lang w:val="en-GB"/>
              </w:rPr>
              <w:t>60</w:t>
            </w:r>
          </w:p>
        </w:tc>
        <w:tc>
          <w:tcPr>
            <w:tcW w:w="654" w:type="pct"/>
            <w:shd w:val="clear" w:color="auto" w:fill="FFFFFF"/>
          </w:tcPr>
          <w:p w14:paraId="2E398580" w14:textId="77777777" w:rsidR="006034DC" w:rsidRDefault="00551235">
            <w:pPr>
              <w:pStyle w:val="CETBodytext"/>
              <w:ind w:right="-1"/>
              <w:rPr>
                <w:rFonts w:cs="Arial"/>
                <w:szCs w:val="18"/>
                <w:lang w:val="en-GB"/>
              </w:rPr>
            </w:pPr>
            <w:r>
              <w:rPr>
                <w:rFonts w:cs="Arial"/>
                <w:szCs w:val="18"/>
                <w:lang w:val="en-GB"/>
              </w:rPr>
              <w:t>100</w:t>
            </w:r>
          </w:p>
        </w:tc>
        <w:tc>
          <w:tcPr>
            <w:tcW w:w="1112" w:type="pct"/>
            <w:shd w:val="clear" w:color="auto" w:fill="FFFFFF"/>
          </w:tcPr>
          <w:p w14:paraId="6FC35703" w14:textId="77777777" w:rsidR="006034DC" w:rsidRDefault="00551235">
            <w:pPr>
              <w:pStyle w:val="CETBodytext"/>
              <w:ind w:right="-1"/>
              <w:rPr>
                <w:rFonts w:cs="Arial"/>
                <w:szCs w:val="18"/>
                <w:lang w:val="en-GB"/>
              </w:rPr>
            </w:pPr>
            <w:r>
              <w:rPr>
                <w:rFonts w:cs="Arial"/>
                <w:szCs w:val="18"/>
                <w:lang w:val="en-GB"/>
              </w:rPr>
              <w:t>3</w:t>
            </w:r>
          </w:p>
        </w:tc>
        <w:tc>
          <w:tcPr>
            <w:tcW w:w="751" w:type="pct"/>
            <w:shd w:val="clear" w:color="auto" w:fill="FFFFFF"/>
          </w:tcPr>
          <w:p w14:paraId="33EE144A" w14:textId="77777777" w:rsidR="006034DC" w:rsidRDefault="00551235">
            <w:pPr>
              <w:pStyle w:val="CETBodytext"/>
              <w:ind w:right="-1"/>
              <w:rPr>
                <w:rFonts w:cs="Arial"/>
                <w:szCs w:val="18"/>
                <w:lang w:val="en-GB"/>
              </w:rPr>
            </w:pPr>
            <w:r>
              <w:rPr>
                <w:rFonts w:cs="Arial"/>
                <w:szCs w:val="18"/>
                <w:lang w:val="en-GB"/>
              </w:rPr>
              <w:t>83.89</w:t>
            </w:r>
          </w:p>
        </w:tc>
        <w:tc>
          <w:tcPr>
            <w:tcW w:w="757" w:type="pct"/>
            <w:shd w:val="clear" w:color="auto" w:fill="FFFFFF"/>
          </w:tcPr>
          <w:p w14:paraId="4F8D1AA5" w14:textId="77777777" w:rsidR="006034DC" w:rsidRDefault="00551235">
            <w:pPr>
              <w:pStyle w:val="CETBodytext"/>
              <w:ind w:right="-1"/>
              <w:rPr>
                <w:rFonts w:cs="Arial"/>
                <w:szCs w:val="18"/>
                <w:lang w:val="en-GB"/>
              </w:rPr>
            </w:pPr>
            <w:r>
              <w:rPr>
                <w:rFonts w:cs="Arial"/>
                <w:szCs w:val="18"/>
                <w:lang w:val="en-GB"/>
              </w:rPr>
              <w:t>38.47</w:t>
            </w:r>
          </w:p>
        </w:tc>
      </w:tr>
      <w:tr w:rsidR="006034DC" w14:paraId="195CB5B9" w14:textId="77777777">
        <w:tc>
          <w:tcPr>
            <w:tcW w:w="259" w:type="pct"/>
            <w:shd w:val="clear" w:color="auto" w:fill="FFFFFF"/>
          </w:tcPr>
          <w:p w14:paraId="16EE952E" w14:textId="77777777" w:rsidR="006034DC" w:rsidRDefault="00551235">
            <w:pPr>
              <w:pStyle w:val="CETBodytext"/>
              <w:ind w:right="-1"/>
              <w:rPr>
                <w:rFonts w:cs="Arial"/>
                <w:szCs w:val="18"/>
                <w:lang w:val="en-GB"/>
              </w:rPr>
            </w:pPr>
            <w:r>
              <w:rPr>
                <w:rFonts w:cs="Arial"/>
                <w:szCs w:val="18"/>
                <w:lang w:val="en-GB"/>
              </w:rPr>
              <w:t>4</w:t>
            </w:r>
          </w:p>
        </w:tc>
        <w:tc>
          <w:tcPr>
            <w:tcW w:w="636" w:type="pct"/>
            <w:shd w:val="clear" w:color="auto" w:fill="FFFFFF"/>
          </w:tcPr>
          <w:p w14:paraId="59DDC4B9" w14:textId="77777777" w:rsidR="006034DC" w:rsidRDefault="00551235">
            <w:pPr>
              <w:pStyle w:val="CETBodytext"/>
              <w:ind w:right="-1"/>
              <w:rPr>
                <w:rFonts w:cs="Arial"/>
                <w:szCs w:val="18"/>
                <w:lang w:val="en-GB"/>
              </w:rPr>
            </w:pPr>
            <w:r>
              <w:rPr>
                <w:rFonts w:cs="Arial"/>
                <w:szCs w:val="18"/>
                <w:lang w:val="en-GB"/>
              </w:rPr>
              <w:t>5:1</w:t>
            </w:r>
          </w:p>
        </w:tc>
        <w:tc>
          <w:tcPr>
            <w:tcW w:w="830" w:type="pct"/>
            <w:shd w:val="clear" w:color="auto" w:fill="FFFFFF"/>
          </w:tcPr>
          <w:p w14:paraId="2BD0E432" w14:textId="77777777" w:rsidR="006034DC" w:rsidRDefault="00551235">
            <w:pPr>
              <w:pStyle w:val="CETBodytext"/>
              <w:ind w:right="-1"/>
              <w:rPr>
                <w:rFonts w:cs="Arial"/>
                <w:szCs w:val="18"/>
                <w:lang w:val="en-GB"/>
              </w:rPr>
            </w:pPr>
            <w:r>
              <w:rPr>
                <w:rFonts w:cs="Arial"/>
                <w:szCs w:val="18"/>
                <w:lang w:val="en-GB"/>
              </w:rPr>
              <w:t>40</w:t>
            </w:r>
          </w:p>
        </w:tc>
        <w:tc>
          <w:tcPr>
            <w:tcW w:w="654" w:type="pct"/>
            <w:shd w:val="clear" w:color="auto" w:fill="FFFFFF"/>
          </w:tcPr>
          <w:p w14:paraId="07CF16BA" w14:textId="77777777" w:rsidR="006034DC" w:rsidRDefault="00551235">
            <w:pPr>
              <w:pStyle w:val="CETBodytext"/>
              <w:ind w:right="-1"/>
              <w:rPr>
                <w:rFonts w:cs="Arial"/>
                <w:szCs w:val="18"/>
                <w:lang w:val="en-GB"/>
              </w:rPr>
            </w:pPr>
            <w:r>
              <w:rPr>
                <w:rFonts w:cs="Arial"/>
                <w:szCs w:val="18"/>
                <w:lang w:val="en-GB"/>
              </w:rPr>
              <w:t>80</w:t>
            </w:r>
          </w:p>
        </w:tc>
        <w:tc>
          <w:tcPr>
            <w:tcW w:w="1112" w:type="pct"/>
            <w:shd w:val="clear" w:color="auto" w:fill="FFFFFF"/>
          </w:tcPr>
          <w:p w14:paraId="2EA798C4" w14:textId="77777777" w:rsidR="006034DC" w:rsidRDefault="00551235">
            <w:pPr>
              <w:pStyle w:val="CETBodytext"/>
              <w:ind w:right="-1"/>
              <w:rPr>
                <w:rFonts w:cs="Arial"/>
                <w:szCs w:val="18"/>
                <w:lang w:val="en-GB"/>
              </w:rPr>
            </w:pPr>
            <w:r>
              <w:rPr>
                <w:rFonts w:cs="Arial"/>
                <w:szCs w:val="18"/>
                <w:lang w:val="en-GB"/>
              </w:rPr>
              <w:t>3</w:t>
            </w:r>
          </w:p>
        </w:tc>
        <w:tc>
          <w:tcPr>
            <w:tcW w:w="751" w:type="pct"/>
            <w:shd w:val="clear" w:color="auto" w:fill="FFFFFF"/>
          </w:tcPr>
          <w:p w14:paraId="6E9C5DB5" w14:textId="77777777" w:rsidR="006034DC" w:rsidRDefault="00551235">
            <w:pPr>
              <w:pStyle w:val="CETBodytext"/>
              <w:ind w:right="-1"/>
              <w:rPr>
                <w:rFonts w:cs="Arial"/>
                <w:szCs w:val="18"/>
                <w:lang w:val="en-GB"/>
              </w:rPr>
            </w:pPr>
            <w:r>
              <w:rPr>
                <w:rFonts w:cs="Arial"/>
                <w:szCs w:val="18"/>
                <w:lang w:val="en-GB"/>
              </w:rPr>
              <w:t>87.25</w:t>
            </w:r>
          </w:p>
        </w:tc>
        <w:tc>
          <w:tcPr>
            <w:tcW w:w="757" w:type="pct"/>
            <w:shd w:val="clear" w:color="auto" w:fill="FFFFFF"/>
          </w:tcPr>
          <w:p w14:paraId="7FC3E608" w14:textId="77777777" w:rsidR="006034DC" w:rsidRDefault="00551235">
            <w:pPr>
              <w:pStyle w:val="CETBodytext"/>
              <w:ind w:right="-1"/>
              <w:rPr>
                <w:rFonts w:cs="Arial"/>
                <w:szCs w:val="18"/>
                <w:lang w:val="en-GB"/>
              </w:rPr>
            </w:pPr>
            <w:r>
              <w:rPr>
                <w:rFonts w:cs="Arial"/>
                <w:szCs w:val="18"/>
                <w:lang w:val="en-GB"/>
              </w:rPr>
              <w:t>38.82</w:t>
            </w:r>
          </w:p>
        </w:tc>
      </w:tr>
      <w:tr w:rsidR="006034DC" w14:paraId="7EF312AF" w14:textId="77777777">
        <w:tc>
          <w:tcPr>
            <w:tcW w:w="259" w:type="pct"/>
            <w:shd w:val="clear" w:color="auto" w:fill="FFFFFF"/>
          </w:tcPr>
          <w:p w14:paraId="14B43494" w14:textId="77777777" w:rsidR="006034DC" w:rsidRDefault="00551235">
            <w:pPr>
              <w:pStyle w:val="CETBodytext"/>
              <w:ind w:right="-1"/>
              <w:rPr>
                <w:rFonts w:cs="Arial"/>
                <w:szCs w:val="18"/>
                <w:lang w:val="en-GB"/>
              </w:rPr>
            </w:pPr>
            <w:r>
              <w:rPr>
                <w:rFonts w:cs="Arial"/>
                <w:szCs w:val="18"/>
                <w:lang w:val="en-GB"/>
              </w:rPr>
              <w:t>5</w:t>
            </w:r>
          </w:p>
        </w:tc>
        <w:tc>
          <w:tcPr>
            <w:tcW w:w="636" w:type="pct"/>
            <w:shd w:val="clear" w:color="auto" w:fill="FFFFFF"/>
          </w:tcPr>
          <w:p w14:paraId="6051D859" w14:textId="77777777" w:rsidR="006034DC" w:rsidRDefault="00551235">
            <w:pPr>
              <w:pStyle w:val="CETBodytext"/>
              <w:ind w:right="-1"/>
              <w:rPr>
                <w:rFonts w:cs="Arial"/>
                <w:szCs w:val="18"/>
                <w:lang w:val="en-GB"/>
              </w:rPr>
            </w:pPr>
            <w:r>
              <w:rPr>
                <w:rFonts w:cs="Arial"/>
                <w:szCs w:val="18"/>
                <w:lang w:val="en-GB"/>
              </w:rPr>
              <w:t>3:1</w:t>
            </w:r>
          </w:p>
        </w:tc>
        <w:tc>
          <w:tcPr>
            <w:tcW w:w="830" w:type="pct"/>
            <w:shd w:val="clear" w:color="auto" w:fill="FFFFFF"/>
          </w:tcPr>
          <w:p w14:paraId="3EE5AC38" w14:textId="77777777" w:rsidR="006034DC" w:rsidRDefault="00551235">
            <w:pPr>
              <w:pStyle w:val="CETBodytext"/>
              <w:ind w:right="-1"/>
              <w:rPr>
                <w:rFonts w:cs="Arial"/>
                <w:szCs w:val="18"/>
                <w:lang w:val="en-GB"/>
              </w:rPr>
            </w:pPr>
            <w:r>
              <w:rPr>
                <w:rFonts w:cs="Arial"/>
                <w:szCs w:val="18"/>
                <w:lang w:val="en-GB"/>
              </w:rPr>
              <w:t>40</w:t>
            </w:r>
          </w:p>
        </w:tc>
        <w:tc>
          <w:tcPr>
            <w:tcW w:w="654" w:type="pct"/>
            <w:shd w:val="clear" w:color="auto" w:fill="FFFFFF"/>
          </w:tcPr>
          <w:p w14:paraId="0C0CAAAD" w14:textId="77777777" w:rsidR="006034DC" w:rsidRDefault="00551235">
            <w:pPr>
              <w:pStyle w:val="CETBodytext"/>
              <w:ind w:right="-1"/>
              <w:rPr>
                <w:rFonts w:cs="Arial"/>
                <w:szCs w:val="18"/>
                <w:lang w:val="en-GB"/>
              </w:rPr>
            </w:pPr>
            <w:r>
              <w:rPr>
                <w:rFonts w:cs="Arial"/>
                <w:szCs w:val="18"/>
                <w:lang w:val="en-GB"/>
              </w:rPr>
              <w:t>60</w:t>
            </w:r>
          </w:p>
        </w:tc>
        <w:tc>
          <w:tcPr>
            <w:tcW w:w="1112" w:type="pct"/>
            <w:shd w:val="clear" w:color="auto" w:fill="FFFFFF"/>
          </w:tcPr>
          <w:p w14:paraId="5CFC6984" w14:textId="77777777" w:rsidR="006034DC" w:rsidRDefault="00551235">
            <w:pPr>
              <w:pStyle w:val="CETBodytext"/>
              <w:ind w:right="-1"/>
              <w:rPr>
                <w:rFonts w:cs="Arial"/>
                <w:szCs w:val="18"/>
                <w:lang w:val="en-GB"/>
              </w:rPr>
            </w:pPr>
            <w:r>
              <w:rPr>
                <w:rFonts w:cs="Arial"/>
                <w:szCs w:val="18"/>
                <w:lang w:val="en-GB"/>
              </w:rPr>
              <w:t>1</w:t>
            </w:r>
          </w:p>
        </w:tc>
        <w:tc>
          <w:tcPr>
            <w:tcW w:w="751" w:type="pct"/>
            <w:shd w:val="clear" w:color="auto" w:fill="FFFFFF"/>
          </w:tcPr>
          <w:p w14:paraId="5A68CF68" w14:textId="77777777" w:rsidR="006034DC" w:rsidRDefault="00551235">
            <w:pPr>
              <w:pStyle w:val="CETBodytext"/>
              <w:ind w:right="-1"/>
              <w:rPr>
                <w:rFonts w:cs="Arial"/>
                <w:szCs w:val="18"/>
                <w:lang w:val="en-GB"/>
              </w:rPr>
            </w:pPr>
            <w:r>
              <w:rPr>
                <w:rFonts w:cs="Arial"/>
                <w:szCs w:val="18"/>
                <w:lang w:val="en-GB"/>
              </w:rPr>
              <w:t>87.69</w:t>
            </w:r>
          </w:p>
        </w:tc>
        <w:tc>
          <w:tcPr>
            <w:tcW w:w="757" w:type="pct"/>
            <w:shd w:val="clear" w:color="auto" w:fill="FFFFFF"/>
          </w:tcPr>
          <w:p w14:paraId="01E9BC8D" w14:textId="77777777" w:rsidR="006034DC" w:rsidRDefault="00551235">
            <w:pPr>
              <w:pStyle w:val="CETBodytext"/>
              <w:ind w:right="-1"/>
              <w:rPr>
                <w:rFonts w:cs="Arial"/>
                <w:szCs w:val="18"/>
                <w:lang w:val="en-GB"/>
              </w:rPr>
            </w:pPr>
            <w:r>
              <w:rPr>
                <w:rFonts w:cs="Arial"/>
                <w:szCs w:val="18"/>
                <w:lang w:val="en-GB"/>
              </w:rPr>
              <w:t>38.86</w:t>
            </w:r>
          </w:p>
        </w:tc>
      </w:tr>
      <w:tr w:rsidR="006034DC" w14:paraId="41CAF039" w14:textId="77777777">
        <w:tc>
          <w:tcPr>
            <w:tcW w:w="259" w:type="pct"/>
            <w:shd w:val="clear" w:color="auto" w:fill="FFFFFF"/>
          </w:tcPr>
          <w:p w14:paraId="4E20BCE3" w14:textId="77777777" w:rsidR="006034DC" w:rsidRDefault="00551235">
            <w:pPr>
              <w:pStyle w:val="CETBodytext"/>
              <w:ind w:right="-1"/>
              <w:rPr>
                <w:rFonts w:cs="Arial"/>
                <w:szCs w:val="18"/>
                <w:lang w:val="en-GB"/>
              </w:rPr>
            </w:pPr>
            <w:r>
              <w:rPr>
                <w:rFonts w:cs="Arial"/>
                <w:szCs w:val="18"/>
                <w:lang w:val="en-GB"/>
              </w:rPr>
              <w:t>6</w:t>
            </w:r>
          </w:p>
        </w:tc>
        <w:tc>
          <w:tcPr>
            <w:tcW w:w="636" w:type="pct"/>
            <w:shd w:val="clear" w:color="auto" w:fill="FFFFFF"/>
          </w:tcPr>
          <w:p w14:paraId="58FB1DDD" w14:textId="77777777" w:rsidR="006034DC" w:rsidRDefault="00551235">
            <w:pPr>
              <w:pStyle w:val="CETBodytext"/>
              <w:ind w:right="-1"/>
              <w:rPr>
                <w:rFonts w:cs="Arial"/>
                <w:szCs w:val="18"/>
                <w:lang w:val="en-GB"/>
              </w:rPr>
            </w:pPr>
            <w:r>
              <w:rPr>
                <w:rFonts w:cs="Arial"/>
                <w:szCs w:val="18"/>
                <w:lang w:val="en-GB"/>
              </w:rPr>
              <w:t>7:1</w:t>
            </w:r>
          </w:p>
        </w:tc>
        <w:tc>
          <w:tcPr>
            <w:tcW w:w="830" w:type="pct"/>
            <w:shd w:val="clear" w:color="auto" w:fill="FFFFFF"/>
          </w:tcPr>
          <w:p w14:paraId="34B5997A" w14:textId="77777777" w:rsidR="006034DC" w:rsidRDefault="00551235">
            <w:pPr>
              <w:pStyle w:val="CETBodytext"/>
              <w:ind w:right="-1"/>
              <w:rPr>
                <w:rFonts w:cs="Arial"/>
                <w:szCs w:val="18"/>
                <w:lang w:val="en-GB"/>
              </w:rPr>
            </w:pPr>
            <w:r>
              <w:rPr>
                <w:rFonts w:cs="Arial"/>
                <w:szCs w:val="18"/>
                <w:lang w:val="en-GB"/>
              </w:rPr>
              <w:t>80</w:t>
            </w:r>
          </w:p>
        </w:tc>
        <w:tc>
          <w:tcPr>
            <w:tcW w:w="654" w:type="pct"/>
            <w:shd w:val="clear" w:color="auto" w:fill="FFFFFF"/>
          </w:tcPr>
          <w:p w14:paraId="35CDB044" w14:textId="77777777" w:rsidR="006034DC" w:rsidRDefault="00551235">
            <w:pPr>
              <w:pStyle w:val="CETBodytext"/>
              <w:ind w:right="-1"/>
              <w:rPr>
                <w:rFonts w:cs="Arial"/>
                <w:szCs w:val="18"/>
                <w:lang w:val="en-GB"/>
              </w:rPr>
            </w:pPr>
            <w:r>
              <w:rPr>
                <w:rFonts w:cs="Arial"/>
                <w:szCs w:val="18"/>
                <w:lang w:val="en-GB"/>
              </w:rPr>
              <w:t>60</w:t>
            </w:r>
          </w:p>
        </w:tc>
        <w:tc>
          <w:tcPr>
            <w:tcW w:w="1112" w:type="pct"/>
            <w:shd w:val="clear" w:color="auto" w:fill="FFFFFF"/>
          </w:tcPr>
          <w:p w14:paraId="2EEFFD77" w14:textId="77777777" w:rsidR="006034DC" w:rsidRDefault="00551235">
            <w:pPr>
              <w:pStyle w:val="CETBodytext"/>
              <w:ind w:right="-1"/>
              <w:rPr>
                <w:rFonts w:cs="Arial"/>
                <w:szCs w:val="18"/>
                <w:lang w:val="en-GB"/>
              </w:rPr>
            </w:pPr>
            <w:r>
              <w:rPr>
                <w:rFonts w:cs="Arial"/>
                <w:szCs w:val="18"/>
                <w:lang w:val="en-GB"/>
              </w:rPr>
              <w:t>3</w:t>
            </w:r>
          </w:p>
        </w:tc>
        <w:tc>
          <w:tcPr>
            <w:tcW w:w="751" w:type="pct"/>
            <w:shd w:val="clear" w:color="auto" w:fill="FFFFFF"/>
          </w:tcPr>
          <w:p w14:paraId="47DB9320" w14:textId="77777777" w:rsidR="006034DC" w:rsidRDefault="00551235">
            <w:pPr>
              <w:pStyle w:val="CETBodytext"/>
              <w:ind w:right="-1"/>
              <w:rPr>
                <w:rFonts w:cs="Arial"/>
                <w:szCs w:val="18"/>
                <w:lang w:val="en-GB"/>
              </w:rPr>
            </w:pPr>
            <w:r>
              <w:rPr>
                <w:rFonts w:cs="Arial"/>
                <w:szCs w:val="18"/>
                <w:lang w:val="en-GB"/>
              </w:rPr>
              <w:t>91.58</w:t>
            </w:r>
          </w:p>
        </w:tc>
        <w:tc>
          <w:tcPr>
            <w:tcW w:w="757" w:type="pct"/>
            <w:shd w:val="clear" w:color="auto" w:fill="FFFFFF"/>
          </w:tcPr>
          <w:p w14:paraId="4DA804BF" w14:textId="77777777" w:rsidR="006034DC" w:rsidRDefault="00551235">
            <w:pPr>
              <w:pStyle w:val="CETBodytext"/>
              <w:ind w:right="-1"/>
              <w:rPr>
                <w:rFonts w:cs="Arial"/>
                <w:szCs w:val="18"/>
                <w:lang w:val="en-GB"/>
              </w:rPr>
            </w:pPr>
            <w:r>
              <w:rPr>
                <w:rFonts w:cs="Arial"/>
                <w:szCs w:val="18"/>
                <w:lang w:val="en-GB"/>
              </w:rPr>
              <w:t>39.24</w:t>
            </w:r>
          </w:p>
        </w:tc>
      </w:tr>
      <w:tr w:rsidR="006034DC" w14:paraId="57CD1E04" w14:textId="77777777">
        <w:tc>
          <w:tcPr>
            <w:tcW w:w="259" w:type="pct"/>
            <w:shd w:val="clear" w:color="auto" w:fill="FFFFFF"/>
          </w:tcPr>
          <w:p w14:paraId="216E9692" w14:textId="77777777" w:rsidR="006034DC" w:rsidRDefault="00551235">
            <w:pPr>
              <w:pStyle w:val="CETBodytext"/>
              <w:ind w:right="-1"/>
              <w:rPr>
                <w:rFonts w:cs="Arial"/>
                <w:szCs w:val="18"/>
                <w:lang w:val="en-GB"/>
              </w:rPr>
            </w:pPr>
            <w:r>
              <w:rPr>
                <w:rFonts w:cs="Arial"/>
                <w:szCs w:val="18"/>
                <w:lang w:val="en-GB"/>
              </w:rPr>
              <w:t>7</w:t>
            </w:r>
          </w:p>
        </w:tc>
        <w:tc>
          <w:tcPr>
            <w:tcW w:w="636" w:type="pct"/>
            <w:shd w:val="clear" w:color="auto" w:fill="FFFFFF"/>
          </w:tcPr>
          <w:p w14:paraId="2A932D0B" w14:textId="77777777" w:rsidR="006034DC" w:rsidRDefault="00551235">
            <w:pPr>
              <w:pStyle w:val="CETBodytext"/>
              <w:ind w:right="-1"/>
              <w:rPr>
                <w:rFonts w:cs="Arial"/>
                <w:szCs w:val="18"/>
                <w:lang w:val="en-GB"/>
              </w:rPr>
            </w:pPr>
            <w:r>
              <w:rPr>
                <w:rFonts w:cs="Arial"/>
                <w:szCs w:val="18"/>
                <w:lang w:val="en-GB"/>
              </w:rPr>
              <w:t>5:1</w:t>
            </w:r>
          </w:p>
        </w:tc>
        <w:tc>
          <w:tcPr>
            <w:tcW w:w="830" w:type="pct"/>
            <w:shd w:val="clear" w:color="auto" w:fill="FFFFFF"/>
          </w:tcPr>
          <w:p w14:paraId="6B33B5D7" w14:textId="77777777" w:rsidR="006034DC" w:rsidRDefault="00551235">
            <w:pPr>
              <w:pStyle w:val="CETBodytext"/>
              <w:ind w:right="-1"/>
              <w:rPr>
                <w:rFonts w:cs="Arial"/>
                <w:szCs w:val="18"/>
                <w:lang w:val="en-GB"/>
              </w:rPr>
            </w:pPr>
            <w:r>
              <w:rPr>
                <w:rFonts w:cs="Arial"/>
                <w:szCs w:val="18"/>
                <w:lang w:val="en-GB"/>
              </w:rPr>
              <w:t>80</w:t>
            </w:r>
          </w:p>
        </w:tc>
        <w:tc>
          <w:tcPr>
            <w:tcW w:w="654" w:type="pct"/>
            <w:shd w:val="clear" w:color="auto" w:fill="FFFFFF"/>
          </w:tcPr>
          <w:p w14:paraId="39D3F7CF" w14:textId="77777777" w:rsidR="006034DC" w:rsidRDefault="00551235">
            <w:pPr>
              <w:pStyle w:val="CETBodytext"/>
              <w:ind w:right="-1"/>
              <w:rPr>
                <w:rFonts w:cs="Arial"/>
                <w:szCs w:val="18"/>
                <w:lang w:val="en-GB"/>
              </w:rPr>
            </w:pPr>
            <w:r>
              <w:rPr>
                <w:rFonts w:cs="Arial"/>
                <w:szCs w:val="18"/>
                <w:lang w:val="en-GB"/>
              </w:rPr>
              <w:t>100</w:t>
            </w:r>
          </w:p>
        </w:tc>
        <w:tc>
          <w:tcPr>
            <w:tcW w:w="1112" w:type="pct"/>
            <w:shd w:val="clear" w:color="auto" w:fill="FFFFFF"/>
          </w:tcPr>
          <w:p w14:paraId="13D6A009" w14:textId="77777777" w:rsidR="006034DC" w:rsidRDefault="00551235">
            <w:pPr>
              <w:pStyle w:val="CETBodytext"/>
              <w:ind w:right="-1"/>
              <w:rPr>
                <w:rFonts w:cs="Arial"/>
                <w:szCs w:val="18"/>
                <w:lang w:val="en-GB"/>
              </w:rPr>
            </w:pPr>
            <w:r>
              <w:rPr>
                <w:rFonts w:cs="Arial"/>
                <w:szCs w:val="18"/>
                <w:lang w:val="en-GB"/>
              </w:rPr>
              <w:t>1</w:t>
            </w:r>
          </w:p>
        </w:tc>
        <w:tc>
          <w:tcPr>
            <w:tcW w:w="751" w:type="pct"/>
            <w:shd w:val="clear" w:color="auto" w:fill="FFFFFF"/>
          </w:tcPr>
          <w:p w14:paraId="2BC638F6" w14:textId="77777777" w:rsidR="006034DC" w:rsidRDefault="00551235">
            <w:pPr>
              <w:pStyle w:val="CETBodytext"/>
              <w:ind w:right="-1"/>
              <w:rPr>
                <w:rFonts w:cs="Arial"/>
                <w:szCs w:val="18"/>
                <w:lang w:val="en-GB"/>
              </w:rPr>
            </w:pPr>
            <w:r>
              <w:rPr>
                <w:rFonts w:cs="Arial"/>
                <w:szCs w:val="18"/>
                <w:lang w:val="en-GB"/>
              </w:rPr>
              <w:t>91.45</w:t>
            </w:r>
          </w:p>
        </w:tc>
        <w:tc>
          <w:tcPr>
            <w:tcW w:w="757" w:type="pct"/>
            <w:shd w:val="clear" w:color="auto" w:fill="FFFFFF"/>
          </w:tcPr>
          <w:p w14:paraId="6E83F7FA" w14:textId="77777777" w:rsidR="006034DC" w:rsidRDefault="00551235">
            <w:pPr>
              <w:pStyle w:val="CETBodytext"/>
              <w:ind w:right="-1"/>
              <w:rPr>
                <w:rFonts w:cs="Arial"/>
                <w:szCs w:val="18"/>
                <w:lang w:val="en-GB"/>
              </w:rPr>
            </w:pPr>
            <w:r>
              <w:rPr>
                <w:rFonts w:cs="Arial"/>
                <w:szCs w:val="18"/>
                <w:lang w:val="en-GB"/>
              </w:rPr>
              <w:t>39.22</w:t>
            </w:r>
          </w:p>
        </w:tc>
      </w:tr>
      <w:tr w:rsidR="006034DC" w14:paraId="14E3C466" w14:textId="77777777">
        <w:tc>
          <w:tcPr>
            <w:tcW w:w="259" w:type="pct"/>
            <w:shd w:val="clear" w:color="auto" w:fill="FFFFFF"/>
          </w:tcPr>
          <w:p w14:paraId="73056461" w14:textId="77777777" w:rsidR="006034DC" w:rsidRDefault="00551235">
            <w:pPr>
              <w:pStyle w:val="CETBodytext"/>
              <w:ind w:right="-1"/>
              <w:rPr>
                <w:rFonts w:cs="Arial"/>
                <w:szCs w:val="18"/>
                <w:lang w:val="en-GB"/>
              </w:rPr>
            </w:pPr>
            <w:r>
              <w:rPr>
                <w:rFonts w:cs="Arial"/>
                <w:szCs w:val="18"/>
                <w:lang w:val="en-GB"/>
              </w:rPr>
              <w:t>8</w:t>
            </w:r>
          </w:p>
        </w:tc>
        <w:tc>
          <w:tcPr>
            <w:tcW w:w="636" w:type="pct"/>
            <w:shd w:val="clear" w:color="auto" w:fill="FFFFFF"/>
          </w:tcPr>
          <w:p w14:paraId="30E8D0C7" w14:textId="77777777" w:rsidR="006034DC" w:rsidRDefault="00551235">
            <w:pPr>
              <w:pStyle w:val="CETBodytext"/>
              <w:ind w:right="-1"/>
              <w:rPr>
                <w:rFonts w:cs="Arial"/>
                <w:szCs w:val="18"/>
                <w:lang w:val="en-GB"/>
              </w:rPr>
            </w:pPr>
            <w:r>
              <w:rPr>
                <w:rFonts w:cs="Arial"/>
                <w:szCs w:val="18"/>
                <w:lang w:val="en-GB"/>
              </w:rPr>
              <w:t>3:1</w:t>
            </w:r>
          </w:p>
        </w:tc>
        <w:tc>
          <w:tcPr>
            <w:tcW w:w="830" w:type="pct"/>
            <w:shd w:val="clear" w:color="auto" w:fill="FFFFFF"/>
          </w:tcPr>
          <w:p w14:paraId="6E9E3FBA" w14:textId="77777777" w:rsidR="006034DC" w:rsidRDefault="00551235">
            <w:pPr>
              <w:pStyle w:val="CETBodytext"/>
              <w:ind w:right="-1"/>
              <w:rPr>
                <w:rFonts w:cs="Arial"/>
                <w:szCs w:val="18"/>
                <w:lang w:val="en-GB"/>
              </w:rPr>
            </w:pPr>
            <w:r>
              <w:rPr>
                <w:rFonts w:cs="Arial"/>
                <w:szCs w:val="18"/>
                <w:lang w:val="en-GB"/>
              </w:rPr>
              <w:t>80</w:t>
            </w:r>
          </w:p>
        </w:tc>
        <w:tc>
          <w:tcPr>
            <w:tcW w:w="654" w:type="pct"/>
            <w:shd w:val="clear" w:color="auto" w:fill="FFFFFF"/>
          </w:tcPr>
          <w:p w14:paraId="47FFAFD1" w14:textId="77777777" w:rsidR="006034DC" w:rsidRDefault="00551235">
            <w:pPr>
              <w:pStyle w:val="CETBodytext"/>
              <w:ind w:right="-1"/>
              <w:rPr>
                <w:rFonts w:cs="Arial"/>
                <w:szCs w:val="18"/>
                <w:lang w:val="en-GB"/>
              </w:rPr>
            </w:pPr>
            <w:r>
              <w:rPr>
                <w:rFonts w:cs="Arial"/>
                <w:szCs w:val="18"/>
                <w:lang w:val="en-GB"/>
              </w:rPr>
              <w:t>80</w:t>
            </w:r>
          </w:p>
        </w:tc>
        <w:tc>
          <w:tcPr>
            <w:tcW w:w="1112" w:type="pct"/>
            <w:shd w:val="clear" w:color="auto" w:fill="FFFFFF"/>
          </w:tcPr>
          <w:p w14:paraId="3708B879" w14:textId="77777777" w:rsidR="006034DC" w:rsidRDefault="00551235">
            <w:pPr>
              <w:pStyle w:val="CETBodytext"/>
              <w:ind w:right="-1"/>
              <w:rPr>
                <w:rFonts w:cs="Arial"/>
                <w:szCs w:val="18"/>
                <w:lang w:val="en-GB"/>
              </w:rPr>
            </w:pPr>
            <w:r>
              <w:rPr>
                <w:rFonts w:cs="Arial"/>
                <w:szCs w:val="18"/>
                <w:lang w:val="en-GB"/>
              </w:rPr>
              <w:t>2</w:t>
            </w:r>
          </w:p>
        </w:tc>
        <w:tc>
          <w:tcPr>
            <w:tcW w:w="751" w:type="pct"/>
            <w:shd w:val="clear" w:color="auto" w:fill="FFFFFF"/>
          </w:tcPr>
          <w:p w14:paraId="6499C1BD" w14:textId="77777777" w:rsidR="006034DC" w:rsidRDefault="00551235">
            <w:pPr>
              <w:pStyle w:val="CETBodytext"/>
              <w:ind w:right="-1"/>
              <w:rPr>
                <w:rFonts w:cs="Arial"/>
                <w:szCs w:val="18"/>
                <w:lang w:val="en-GB"/>
              </w:rPr>
            </w:pPr>
            <w:r>
              <w:rPr>
                <w:rFonts w:cs="Arial"/>
                <w:szCs w:val="18"/>
                <w:lang w:val="en-GB"/>
              </w:rPr>
              <w:t>92.11</w:t>
            </w:r>
          </w:p>
        </w:tc>
        <w:tc>
          <w:tcPr>
            <w:tcW w:w="757" w:type="pct"/>
            <w:shd w:val="clear" w:color="auto" w:fill="FFFFFF"/>
          </w:tcPr>
          <w:p w14:paraId="79AA49F2" w14:textId="77777777" w:rsidR="006034DC" w:rsidRDefault="00551235">
            <w:pPr>
              <w:pStyle w:val="CETBodytext"/>
              <w:ind w:right="-1"/>
              <w:rPr>
                <w:rFonts w:cs="Arial"/>
                <w:szCs w:val="18"/>
                <w:lang w:val="en-GB"/>
              </w:rPr>
            </w:pPr>
            <w:r>
              <w:rPr>
                <w:rFonts w:cs="Arial"/>
                <w:szCs w:val="18"/>
                <w:lang w:val="en-GB"/>
              </w:rPr>
              <w:t>39.29</w:t>
            </w:r>
          </w:p>
        </w:tc>
      </w:tr>
      <w:tr w:rsidR="006034DC" w14:paraId="47B29A5B" w14:textId="77777777">
        <w:tc>
          <w:tcPr>
            <w:tcW w:w="259" w:type="pct"/>
            <w:shd w:val="clear" w:color="auto" w:fill="FFFFFF"/>
          </w:tcPr>
          <w:p w14:paraId="00F23DB9" w14:textId="77777777" w:rsidR="006034DC" w:rsidRDefault="00551235">
            <w:pPr>
              <w:pStyle w:val="CETBodytext"/>
              <w:ind w:right="-1"/>
              <w:rPr>
                <w:rFonts w:cs="Arial"/>
                <w:szCs w:val="18"/>
                <w:lang w:val="en-GB"/>
              </w:rPr>
            </w:pPr>
            <w:r>
              <w:rPr>
                <w:rFonts w:cs="Arial"/>
                <w:szCs w:val="18"/>
                <w:lang w:val="en-GB"/>
              </w:rPr>
              <w:t>9</w:t>
            </w:r>
          </w:p>
        </w:tc>
        <w:tc>
          <w:tcPr>
            <w:tcW w:w="636" w:type="pct"/>
            <w:shd w:val="clear" w:color="auto" w:fill="FFFFFF"/>
          </w:tcPr>
          <w:p w14:paraId="68368C51" w14:textId="77777777" w:rsidR="006034DC" w:rsidRDefault="00551235">
            <w:pPr>
              <w:pStyle w:val="CETBodytext"/>
              <w:ind w:right="-1"/>
              <w:rPr>
                <w:rFonts w:cs="Arial"/>
                <w:szCs w:val="18"/>
                <w:lang w:val="en-GB"/>
              </w:rPr>
            </w:pPr>
            <w:r>
              <w:rPr>
                <w:rFonts w:cs="Arial"/>
                <w:szCs w:val="18"/>
                <w:lang w:val="en-GB"/>
              </w:rPr>
              <w:t>7:1</w:t>
            </w:r>
          </w:p>
        </w:tc>
        <w:tc>
          <w:tcPr>
            <w:tcW w:w="830" w:type="pct"/>
            <w:shd w:val="clear" w:color="auto" w:fill="FFFFFF"/>
          </w:tcPr>
          <w:p w14:paraId="0FB1DC6B" w14:textId="77777777" w:rsidR="006034DC" w:rsidRDefault="00551235">
            <w:pPr>
              <w:pStyle w:val="CETBodytext"/>
              <w:ind w:right="-1"/>
              <w:rPr>
                <w:rFonts w:cs="Arial"/>
                <w:szCs w:val="18"/>
                <w:lang w:val="en-GB"/>
              </w:rPr>
            </w:pPr>
            <w:r>
              <w:rPr>
                <w:rFonts w:cs="Arial"/>
                <w:szCs w:val="18"/>
                <w:lang w:val="en-GB"/>
              </w:rPr>
              <w:t>40</w:t>
            </w:r>
          </w:p>
        </w:tc>
        <w:tc>
          <w:tcPr>
            <w:tcW w:w="654" w:type="pct"/>
            <w:shd w:val="clear" w:color="auto" w:fill="FFFFFF"/>
          </w:tcPr>
          <w:p w14:paraId="35619D69" w14:textId="77777777" w:rsidR="006034DC" w:rsidRDefault="00551235">
            <w:pPr>
              <w:pStyle w:val="CETBodytext"/>
              <w:ind w:right="-1"/>
              <w:rPr>
                <w:rFonts w:cs="Arial"/>
                <w:szCs w:val="18"/>
                <w:lang w:val="en-GB"/>
              </w:rPr>
            </w:pPr>
            <w:r>
              <w:rPr>
                <w:rFonts w:cs="Arial"/>
                <w:szCs w:val="18"/>
                <w:lang w:val="en-GB"/>
              </w:rPr>
              <w:t>100</w:t>
            </w:r>
          </w:p>
        </w:tc>
        <w:tc>
          <w:tcPr>
            <w:tcW w:w="1112" w:type="pct"/>
            <w:shd w:val="clear" w:color="auto" w:fill="FFFFFF"/>
          </w:tcPr>
          <w:p w14:paraId="7CE082E2" w14:textId="77777777" w:rsidR="006034DC" w:rsidRDefault="00551235">
            <w:pPr>
              <w:pStyle w:val="CETBodytext"/>
              <w:ind w:right="-1"/>
              <w:rPr>
                <w:rFonts w:cs="Arial"/>
                <w:szCs w:val="18"/>
                <w:lang w:val="en-GB"/>
              </w:rPr>
            </w:pPr>
            <w:r>
              <w:rPr>
                <w:rFonts w:cs="Arial"/>
                <w:szCs w:val="18"/>
                <w:lang w:val="en-GB"/>
              </w:rPr>
              <w:t>2</w:t>
            </w:r>
          </w:p>
        </w:tc>
        <w:tc>
          <w:tcPr>
            <w:tcW w:w="751" w:type="pct"/>
            <w:shd w:val="clear" w:color="auto" w:fill="FFFFFF"/>
          </w:tcPr>
          <w:p w14:paraId="4C0A0BB7" w14:textId="77777777" w:rsidR="006034DC" w:rsidRDefault="00551235">
            <w:pPr>
              <w:pStyle w:val="CETBodytext"/>
              <w:ind w:right="-1"/>
              <w:rPr>
                <w:rFonts w:cs="Arial"/>
                <w:szCs w:val="18"/>
                <w:lang w:val="en-GB"/>
              </w:rPr>
            </w:pPr>
            <w:r>
              <w:rPr>
                <w:rFonts w:cs="Arial"/>
                <w:szCs w:val="18"/>
                <w:lang w:val="en-GB"/>
              </w:rPr>
              <w:t>87.72</w:t>
            </w:r>
          </w:p>
        </w:tc>
        <w:tc>
          <w:tcPr>
            <w:tcW w:w="757" w:type="pct"/>
            <w:shd w:val="clear" w:color="auto" w:fill="FFFFFF"/>
          </w:tcPr>
          <w:p w14:paraId="38704FCF" w14:textId="77777777" w:rsidR="006034DC" w:rsidRDefault="00551235">
            <w:pPr>
              <w:pStyle w:val="CETBodytext"/>
              <w:ind w:right="-1"/>
              <w:rPr>
                <w:rFonts w:cs="Arial"/>
                <w:szCs w:val="18"/>
                <w:lang w:val="en-GB"/>
              </w:rPr>
            </w:pPr>
            <w:r>
              <w:rPr>
                <w:rFonts w:cs="Arial"/>
                <w:szCs w:val="18"/>
                <w:lang w:val="en-GB"/>
              </w:rPr>
              <w:t>38.86</w:t>
            </w:r>
          </w:p>
        </w:tc>
      </w:tr>
    </w:tbl>
    <w:p w14:paraId="29D86CF3" w14:textId="77777777" w:rsidR="006034DC" w:rsidRDefault="00551235">
      <w:pPr>
        <w:pStyle w:val="CETHeading1"/>
      </w:pPr>
      <w:r>
        <w:t>Results and Discussion</w:t>
      </w:r>
    </w:p>
    <w:p w14:paraId="6ED88296" w14:textId="77777777" w:rsidR="006034DC" w:rsidRDefault="00551235">
      <w:pPr>
        <w:pStyle w:val="CETheadingx"/>
      </w:pPr>
      <w:r>
        <w:t>Fourier-transform infrared spectroscopy of virgin, waste and recovered lubricating oil</w:t>
      </w:r>
    </w:p>
    <w:p w14:paraId="0316AC4E" w14:textId="77777777" w:rsidR="006034DC" w:rsidRDefault="00551235">
      <w:pPr>
        <w:pStyle w:val="CETBodytext"/>
      </w:pPr>
      <w:r>
        <w:t>Figure 3 depicts the FTIR analysis of fresh lubricant, waste lubricant, and re-refined base oil. Figure 3 shows that various bands in virgin lubricating oil represented by the peaks 2951 cm</w:t>
      </w:r>
      <w:r>
        <w:rPr>
          <w:vertAlign w:val="superscript"/>
        </w:rPr>
        <w:t>-1</w:t>
      </w:r>
      <w:r>
        <w:t>, 2920 cm</w:t>
      </w:r>
      <w:r>
        <w:rPr>
          <w:vertAlign w:val="superscript"/>
        </w:rPr>
        <w:t>-1</w:t>
      </w:r>
      <w:r>
        <w:t>, and 2850 cm</w:t>
      </w:r>
      <w:r>
        <w:rPr>
          <w:vertAlign w:val="superscript"/>
        </w:rPr>
        <w:t>-1</w:t>
      </w:r>
      <w:r>
        <w:t xml:space="preserve"> (Kupareva et al., 2013) are assigned to symmetric stretching of the C-H group (alkane). The peak at 1463 cm</w:t>
      </w:r>
      <w:r>
        <w:rPr>
          <w:vertAlign w:val="superscript"/>
        </w:rPr>
        <w:t>-1</w:t>
      </w:r>
      <w:r>
        <w:t>, belongs to the CH</w:t>
      </w:r>
      <w:r>
        <w:rPr>
          <w:vertAlign w:val="subscript"/>
        </w:rPr>
        <w:t>2</w:t>
      </w:r>
      <w:r>
        <w:t xml:space="preserve"> group (alkane), and the absorbance at 1373 cm</w:t>
      </w:r>
      <w:r>
        <w:rPr>
          <w:vertAlign w:val="superscript"/>
        </w:rPr>
        <w:t>-1</w:t>
      </w:r>
      <w:r>
        <w:t xml:space="preserve"> indicated CH</w:t>
      </w:r>
      <w:r>
        <w:rPr>
          <w:vertAlign w:val="subscript"/>
        </w:rPr>
        <w:t xml:space="preserve">3 </w:t>
      </w:r>
      <w:r>
        <w:t xml:space="preserve">group </w:t>
      </w:r>
      <w:r>
        <w:fldChar w:fldCharType="begin" w:fldLock="1"/>
      </w:r>
      <w:r>
        <w:instrText>ADDIN CSL_CITATION {"citationItems":[{"id":"ITEM-1","itemData":{"DOI":"10.2166/wst.2021.078","ISSN":"19969732","PMID":"33767043","abstract":"In the present work, Zeolite A was modified by using hexadecyltrimethylammonium bromide (HDTMABr) for adsorption of the Congo red (CR) dye from synthetic aqueous solutions. The Modified Zeolite A (MZA) was characterized by XRD, SEM, and FTIR. The influence of solution pH (in the 4–12 range), ionic strength (0.1–1 M), contact time (180 min), initial CR concentration (20–60 mg/L), temperature (24–36 C), and an adsorbent dose (1–3 g m/L) on the % dye removal and adsorbent capacity were studied. A combined effect of the initial CR concentration and temperature on the CR removal % by MZA was also studied by applying response surface methodology (RSM). Experimental values were in a good agreement with those predicated by a second-order quartic model. A maximum of 99.24% dye removal and adsorbent capacity of 21.11 mg/g was achieved under the following conditions: pH ¼ 7, initial CR concentration ¼ 60 mg/L, temperature ¼ 24 C, ionic strength ¼ 0.1 M, adsorbent dose ¼ 3 g/L and 90 min contact time. The equilibrium data were subjected to the Langmuir, Freundlich and Temkin isotherms, with the latter providing the best fit while kinetic adsorption studies were conducted by applying three models. The results indicated that the removal process was best described by the pseudo-second-order model. The present study demonstrates that modified MZA can be utilized for the highly efficient CR dye removal.","author":[{"dropping-particle":"","family":"Khalaf","given":"Intisar Hussain","non-dropping-particle":"","parse-names":false,"suffix":""},{"dropping-particle":"","family":"Al-Sudani","given":"Farah Talib","non-dropping-particle":"","parse-names":false,"suffix":""},{"dropping-particle":"","family":"AbdulRazak","given":"Adnan A.","non-dropping-particle":"","parse-names":false,"suffix":""},{"dropping-particle":"","family":"Aldahri","given":"Tahani","non-dropping-particle":"","parse-names":false,"suffix":""},{"dropping-particle":"","family":"Rohani","given":"Sohrab","non-dropping-particle":"","parse-names":false,"suffix":""}],"container-title":"Water Science and Technology","id":"ITEM-1","issue":"6","issued":{"date-parts":[["2021"]]},"page":"1369-1383","title":"Optimization of Congo red dye adsorption from wastewater by a modified commercial zeolite catalyst using response surface modeling approach","type":"article-journal","volume":"83"},"uris":["http://www.mendeley.com/documents/?uuid=d229ce06-1a47-4c07-bd6f-a3c8a6fcfee1"]}],"mendeley":{"formattedCitation":"(Khalaf &lt;i&gt;et al.&lt;/i&gt;, 2021)","plainTextFormattedCitation":"(Khalaf et al., 2021)","previouslyFormattedCitation":"(Khalaf &lt;i&gt;et al.&lt;/i&gt;, 2021)"},"properties":{"noteIndex":0},"schema":"https://github.com/citation-style-language/schema/raw/master/csl-citation.json"}</w:instrText>
      </w:r>
      <w:r>
        <w:fldChar w:fldCharType="separate"/>
      </w:r>
      <w:r>
        <w:t>(Khalaf et al., 2021)</w:t>
      </w:r>
      <w:r>
        <w:fldChar w:fldCharType="end"/>
      </w:r>
      <w:r>
        <w:t xml:space="preserve">. </w:t>
      </w:r>
      <w:r>
        <w:lastRenderedPageBreak/>
        <w:t>In waste lubricating oil the peak at 1175 cm</w:t>
      </w:r>
      <w:r>
        <w:rPr>
          <w:vertAlign w:val="superscript"/>
        </w:rPr>
        <w:t>-1</w:t>
      </w:r>
      <w:r>
        <w:t xml:space="preserve">, indicated the presence of carboxylic acid </w:t>
      </w:r>
      <w:r>
        <w:fldChar w:fldCharType="begin" w:fldLock="1"/>
      </w:r>
      <w:r>
        <w:instrText>ADDIN CSL_CITATION {"citationItems":[{"id":"ITEM-1","itemData":{"abstract":"This paper investigates the treatment of waste engine oils using four different acids (sulphuric acid, phosphoric acid, acetic acid and formic acid) followed by treatment with clay earth. The effect of these treatments on the properties of the treated used oil was studied Tests include: specific gravity, flash point, kinematic viscosity, FTIR , total acid number and total base number. The results showed that the formic acid-clay treatment improve the flash point of the used motor oil and made it comparable with fresh motor oil and the sulphuric acid, acetic acid and formic acid followed by clay treatment improved the kinematic viscosity of the oil while the treatment with phosphoric acid-clay has no improvement action on the used oil kinematic viscosity and flash point. The FTIR analysis was used to determine the TAN and TBN and the results showed that the treatments of used motor oil with acetic acid-clay and formic acid-clay has higher TBN values than the TBN value of used engine oil.","author":[{"dropping-particle":"","family":"Abu-Elella","given":"R","non-dropping-particle":"","parse-names":false,"suffix":""},{"dropping-particle":"","family":"Ossman","given":"M E","non-dropping-particle":"","parse-names":false,"suffix":""},{"dropping-particle":"","family":"Farouq","given":"R","non-dropping-particle":"","parse-names":false,"suffix":""},{"dropping-particle":"","family":"Abd-Elfatah","given":"M","non-dropping-particle":"","parse-names":false,"suffix":""}],"container-title":"International Journal of Chemical and Biochemical Sciences","id":"ITEM-1","issued":{"date-parts":[["2015"]]},"page":"57-67","title":"Used Motor Oil Treatment: Turning Waste Oil Into Valuable Products","type":"article-journal","volume":"7"},"uris":["http://www.mendeley.com/documents/?uuid=6c4d849c-6cdb-4d82-a5fe-d983e142ead3"]}],"mendeley":{"formattedCitation":"(Abu-Elella &lt;i&gt;et al.&lt;/i&gt;, 2015)","plainTextFormattedCitation":"(Abu-Elella et al., 2015)","previouslyFormattedCitation":"(Abu-Elella &lt;i&gt;et al.&lt;/i&gt;, 2015)"},"properties":{"noteIndex":0},"schema":"https://github.com/citation-style-language/schema/raw/master/csl-citation.json"}</w:instrText>
      </w:r>
      <w:r>
        <w:fldChar w:fldCharType="separate"/>
      </w:r>
      <w:r>
        <w:t>(Abu-Elella et al., 2015)</w:t>
      </w:r>
      <w:r>
        <w:fldChar w:fldCharType="end"/>
      </w:r>
      <w:r>
        <w:t>. One band in the spectra is associated to carbonyl compounds with symmetric stretching of the C=O from esters, ketones, or acids, and it is located at 1700 cm</w:t>
      </w:r>
      <w:r>
        <w:rPr>
          <w:vertAlign w:val="superscript"/>
        </w:rPr>
        <w:t>-1</w:t>
      </w:r>
      <w:r>
        <w:t xml:space="preserve">. </w:t>
      </w:r>
      <w:r>
        <w:fldChar w:fldCharType="begin" w:fldLock="1"/>
      </w:r>
      <w:r>
        <w:instrText>ADDIN CSL_CITATION {"citationItems":[{"id":"ITEM-1","itemData":{"DOI":"10.1002/jctb.4137","ISSN":"02682575","abstract":"The European oil rerefining industry is comprised of 28 plants treating waste oil, which represent one-third in volume of the total European market for lubricants. The biggest European rerefineries with capacity greater than 40 000 tons/year apply various technologies for recycling of used oils from different sources. Used oil recycling technology has undergone significant changes over the past decade. With the newly developed rerefining technologies it is possible to produce higher quality base oil compared with the traditional and old acid clay methods. Currently in Europe the following re-refining methods are widely used: solvent extraction (N-methyl-2-pyrrolidone (Germany), Interline process (United Kingdom, Spain)); combined vacuum distillation and solvent extraction (Vaxon process (Denmark, Spain); hydroprocessing (Hylube process (Germany)); combined thin film evaporation and hydrofinishing (CEP process (Finland)); combined thermal de-asphalting and hydrofinishing (Revivoil process (Italy, Poland, and Spain)). The majority of applied technologies in Europe is appropriate for rerefining of synthetic lubricating oils, which currently are replacing the conventional mineral lube oils due to their enhanced performance characteristics. However, for the rerefining technologies applying alkaline treatment (CEP, Vaxon) and hydrofinishing step (Cyclon, Snamprogetti, Revivoil) the amount of synthetic or semi-synthetic oils based on esters in the feedstock should be eliminated, since these oils are less stable under alkali and hydrofinishing conditions. © 2013 Society of Chemical Industry.","author":[{"dropping-particle":"","family":"Kupareva","given":"Antonina","non-dropping-particle":"","parse-names":false,"suffix":""},{"dropping-particle":"","family":"Mäki-Arvela","given":"Päivi","non-dropping-particle":"","parse-names":false,"suffix":""},{"dropping-particle":"","family":"Murzin","given":"Dmitry Yu","non-dropping-particle":"","parse-names":false,"suffix":""}],"container-title":"Journal of Chemical Technology and Biotechnology","id":"ITEM-1","issue":"10","issued":{"date-parts":[["2013"]]},"page":"1780-1793","title":"Technology for rerefining used lube oils applied in Europe: A review","type":"article-journal","volume":"88"},"uris":["http://www.mendeley.com/documents/?uuid=694fc731-0b24-4b9c-aa3c-4c405b80718e"]}],"mendeley":{"formattedCitation":"(Kupareva, Mäki-Arvela and Murzin, 2013)","plainTextFormattedCitation":"(Kupareva, Mäki-Arvela and Murzin, 2013)","previouslyFormattedCitation":"(Kupareva, Mäki-Arvela and Murzin, 2013)"},"properties":{"noteIndex":0},"schema":"https://github.com/citation-style-language/schema/raw/master/csl-citation.json"}</w:instrText>
      </w:r>
      <w:r>
        <w:fldChar w:fldCharType="separate"/>
      </w:r>
      <w:r>
        <w:t>(Kupareva, Mäki-Arvela and Murzin, 2013)</w:t>
      </w:r>
      <w:r>
        <w:fldChar w:fldCharType="end"/>
      </w:r>
      <w:r>
        <w:t>. At 2730 cm</w:t>
      </w:r>
      <w:r>
        <w:rPr>
          <w:vertAlign w:val="superscript"/>
        </w:rPr>
        <w:t>-1</w:t>
      </w:r>
      <w:r>
        <w:t>, a stretching vibration of H-C=O: C-H (aldehydes) appears</w:t>
      </w:r>
      <w:r>
        <w:fldChar w:fldCharType="begin" w:fldLock="1"/>
      </w:r>
      <w:r>
        <w:instrText>ADDIN CSL_CITATION {"citationItems":[{"id":"ITEM-1","itemData":{"abstract":"This paper investigates the treatment of waste engine oils using four different acids (sulphuric acid, phosphoric acid, acetic acid and formic acid) followed by treatment with clay earth. The effect of these treatments on the properties of the treated used oil was studied Tests include: specific gravity, flash point, kinematic viscosity, FTIR , total acid number and total base number. The results showed that the formic acid-clay treatment improve the flash point of the used motor oil and made it comparable with fresh motor oil and the sulphuric acid, acetic acid and formic acid followed by clay treatment improved the kinematic viscosity of the oil while the treatment with phosphoric acid-clay has no improvement action on the used oil kinematic viscosity and flash point. The FTIR analysis was used to determine the TAN and TBN and the results showed that the treatments of used motor oil with acetic acid-clay and formic acid-clay has higher TBN values than the TBN value of used engine oil.","author":[{"dropping-particle":"","family":"Abu-Elella","given":"R","non-dropping-particle":"","parse-names":false,"suffix":""},{"dropping-particle":"","family":"Ossman","given":"M E","non-dropping-particle":"","parse-names":false,"suffix":""},{"dropping-particle":"","family":"Farouq","given":"R","non-dropping-particle":"","parse-names":false,"suffix":""},{"dropping-particle":"","family":"Abd-Elfatah","given":"M","non-dropping-particle":"","parse-names":false,"suffix":""}],"container-title":"International Journal of Chemical and Biochemical Sciences","id":"ITEM-1","issued":{"date-parts":[["2015"]]},"page":"57-67","title":"Used Motor Oil Treatment: Turning Waste Oil Into Valuable Products","type":"article-journal","volume":"7"},"uris":["http://www.mendeley.com/documents/?uuid=6c4d849c-6cdb-4d82-a5fe-d983e142ead3"]}],"mendeley":{"formattedCitation":"(Abu-Elella &lt;i&gt;et al.&lt;/i&gt;, 2015)","plainTextFormattedCitation":"(Abu-Elella et al., 2015)","previouslyFormattedCitation":"(Abu-Elella &lt;i&gt;et al.&lt;/i&gt;, 2015)"},"properties":{"noteIndex":0},"schema":"https://github.com/citation-style-language/schema/raw/master/csl-citation.json"}</w:instrText>
      </w:r>
      <w:r>
        <w:fldChar w:fldCharType="separate"/>
      </w:r>
      <w:r>
        <w:t>(Abu-Elella et al., 2015)</w:t>
      </w:r>
      <w:r>
        <w:fldChar w:fldCharType="end"/>
      </w:r>
      <w:r>
        <w:t>. The spectra at 820 cm</w:t>
      </w:r>
      <w:r>
        <w:rPr>
          <w:vertAlign w:val="superscript"/>
        </w:rPr>
        <w:t>-1</w:t>
      </w:r>
      <w:r>
        <w:t xml:space="preserve"> in waste oil is assigned to aromatic content, which  indicates that waste lubricating oil content fuels </w:t>
      </w:r>
      <w:r>
        <w:fldChar w:fldCharType="begin" w:fldLock="1"/>
      </w:r>
      <w:r>
        <w:instrText>ADDIN CSL_CITATION {"citationItems":[{"id":"ITEM-1","itemData":{"abstract":"This paper investigates the treatment of waste engine oils using four different acids (sulphuric acid, phosphoric acid, acetic acid and formic acid) followed by treatment with clay earth. The effect of these treatments on the properties of the treated used oil was studied Tests include: specific gravity, flash point, kinematic viscosity, FTIR , total acid number and total base number. The results showed that the formic acid-clay treatment improve the flash point of the used motor oil and made it comparable with fresh motor oil and the sulphuric acid, acetic acid and formic acid followed by clay treatment improved the kinematic viscosity of the oil while the treatment with phosphoric acid-clay has no improvement action on the used oil kinematic viscosity and flash point. The FTIR analysis was used to determine the TAN and TBN and the results showed that the treatments of used motor oil with acetic acid-clay and formic acid-clay has higher TBN values than the TBN value of used engine oil.","author":[{"dropping-particle":"","family":"Abu-Elella","given":"R","non-dropping-particle":"","parse-names":false,"suffix":""},{"dropping-particle":"","family":"Ossman","given":"M E","non-dropping-particle":"","parse-names":false,"suffix":""},{"dropping-particle":"","family":"Farouq","given":"R","non-dropping-particle":"","parse-names":false,"suffix":""},{"dropping-particle":"","family":"Abd-Elfatah","given":"M","non-dropping-particle":"","parse-names":false,"suffix":""}],"container-title":"International Journal of Chemical and Biochemical Sciences","id":"ITEM-1","issued":{"date-parts":[["2015"]]},"page":"57-67","title":"Used Motor Oil Treatment: Turning Waste Oil Into Valuable Products","type":"article-journal","volume":"7"},"uris":["http://www.mendeley.com/documents/?uuid=6c4d849c-6cdb-4d82-a5fe-d983e142ead3"]}],"mendeley":{"formattedCitation":"(Abu-Elella &lt;i&gt;et al.&lt;/i&gt;, 2015)","plainTextFormattedCitation":"(Abu-Elella et al., 2015)","previouslyFormattedCitation":"(Abu-Elella &lt;i&gt;et al.&lt;/i&gt;, 2015)"},"properties":{"noteIndex":0},"schema":"https://github.com/citation-style-language/schema/raw/master/csl-citation.json"}</w:instrText>
      </w:r>
      <w:r>
        <w:fldChar w:fldCharType="separate"/>
      </w:r>
      <w:r>
        <w:t xml:space="preserve">(Abu-Elella </w:t>
      </w:r>
      <w:r>
        <w:rPr>
          <w:i/>
        </w:rPr>
        <w:t>et al.</w:t>
      </w:r>
      <w:r>
        <w:t>, 2015)</w:t>
      </w:r>
      <w:r>
        <w:fldChar w:fldCharType="end"/>
      </w:r>
      <w:r>
        <w:t>. After the re-refining process using 1-butanol as solvent and sodium alginate as flocculant, aromatics, aldehyde, and other oxidative products such as ketones, carboxylic acid was eliminated from the re-refined base oil and this confirms by the absence of peaks at 820 cm</w:t>
      </w:r>
      <w:r>
        <w:rPr>
          <w:vertAlign w:val="superscript"/>
        </w:rPr>
        <w:t>-1</w:t>
      </w:r>
      <w:r>
        <w:t>, 1700 cm</w:t>
      </w:r>
      <w:r>
        <w:rPr>
          <w:vertAlign w:val="superscript"/>
        </w:rPr>
        <w:t>-1</w:t>
      </w:r>
      <w:r>
        <w:t xml:space="preserve">. </w:t>
      </w:r>
    </w:p>
    <w:p w14:paraId="17DCF0E6" w14:textId="77777777" w:rsidR="006034DC" w:rsidRDefault="00551235" w:rsidP="00326452">
      <w:pPr>
        <w:pStyle w:val="CETBodytext"/>
        <w:jc w:val="center"/>
      </w:pPr>
      <w:r>
        <w:rPr>
          <w:noProof/>
          <w:lang w:val="en-IN" w:eastAsia="en-IN"/>
        </w:rPr>
        <w:drawing>
          <wp:inline distT="0" distB="0" distL="0" distR="0" wp14:anchorId="1423CD6A" wp14:editId="3C8C16A0">
            <wp:extent cx="4451985" cy="26701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BEBA8EAE-BF5A-486C-A8C5-ECC9F3942E4B}">
                          <a14:imgProps xmlns:a14="http://schemas.microsoft.com/office/drawing/2010/main">
                            <a14:imgLayer r:embed="rId13">
                              <a14:imgEffect>
                                <a14:saturation sat="200000"/>
                              </a14:imgEffect>
                            </a14:imgLayer>
                          </a14:imgProps>
                        </a:ext>
                      </a:extLst>
                    </a:blip>
                    <a:stretch>
                      <a:fillRect/>
                    </a:stretch>
                  </pic:blipFill>
                  <pic:spPr>
                    <a:xfrm>
                      <a:off x="0" y="0"/>
                      <a:ext cx="4547260" cy="2727474"/>
                    </a:xfrm>
                    <a:prstGeom prst="rect">
                      <a:avLst/>
                    </a:prstGeom>
                  </pic:spPr>
                </pic:pic>
              </a:graphicData>
            </a:graphic>
          </wp:inline>
        </w:drawing>
      </w:r>
    </w:p>
    <w:p w14:paraId="121262C1" w14:textId="77777777" w:rsidR="006034DC" w:rsidRDefault="00551235" w:rsidP="00326452">
      <w:pPr>
        <w:pStyle w:val="CETCaption"/>
        <w:jc w:val="center"/>
        <w:rPr>
          <w:rStyle w:val="CETCaptionCarattere"/>
          <w:i/>
        </w:rPr>
      </w:pPr>
      <w:r>
        <w:rPr>
          <w:rStyle w:val="CETCaptionCarattere"/>
          <w:i/>
        </w:rPr>
        <w:t>Figure 3: FTIR analysis of (a) Fr</w:t>
      </w:r>
      <w:bookmarkStart w:id="0" w:name="_GoBack"/>
      <w:bookmarkEnd w:id="0"/>
      <w:r>
        <w:rPr>
          <w:rStyle w:val="CETCaptionCarattere"/>
          <w:i/>
        </w:rPr>
        <w:t>esh Lubricant (b) Waste Lubricant and (c) Refined Lubricant</w:t>
      </w:r>
    </w:p>
    <w:p w14:paraId="66633D42" w14:textId="77777777" w:rsidR="006034DC" w:rsidRDefault="00551235">
      <w:pPr>
        <w:pStyle w:val="CETheadingx"/>
      </w:pPr>
      <w:r>
        <w:t>Analysis of variance (ANOVA) of re-refining waste lubricating oil using Taguchi approach</w:t>
      </w:r>
    </w:p>
    <w:p w14:paraId="08320132" w14:textId="77777777" w:rsidR="006034DC" w:rsidRDefault="00551235">
      <w:pPr>
        <w:pStyle w:val="CETBodytext"/>
      </w:pPr>
      <w:r>
        <w:t>The Taguchi approach was used to design an experimental matrix for re-refining waste lubricating oil using eco-friendly and cleaner extraction-flocculation technology to maximise the percentage recovery of re-refined base oil. Table 3 summarises the results of the analysis of variance from the three-factor interaction for maximising the percentage yield. The obtained sum of squares and model’s F-value in the current investigation are 105.66, and 53.86 respectively which is sufficient to demonstrate its significance. Table 3 shows that the most influential parameter is refining temperature, followed by flocculant dosage, and the solvent to waste oil ratio. The results of the percentage contribution of each process parameter were obtained and summarised in Table 4 by estimating the contribution factors. According to the finding’s, refining temperature has the greatest influence on percentage yield, with a contribution factor of 98.11 % followed by flocculant dosage of 1.09 % and solvent to waste oil ratio of 0.78 %. The Model fit statistics for re-refining process was evaluated and tabulated in Table 5. The experimental results are completely predicted by the model, according to the co-efficient of determination (R</w:t>
      </w:r>
      <w:r>
        <w:rPr>
          <w:vertAlign w:val="superscript"/>
        </w:rPr>
        <w:t>2</w:t>
      </w:r>
      <w:r>
        <w:t>), which was found to be 0.9938. The lower values of the coefficient of variance (0.65 %) provided a clear understanding of the model's correctness. The total signal-to-noise ratio (adequate precision) for the selected model was 19.6908, indicating that there is enough signal to navigate the design space based on the findings of the current experiment.</w:t>
      </w:r>
    </w:p>
    <w:p w14:paraId="01648414" w14:textId="77777777" w:rsidR="006034DC" w:rsidRDefault="00551235">
      <w:pPr>
        <w:pStyle w:val="CETTabletitle"/>
      </w:pPr>
      <w:r>
        <w:t>Table 3: Statistical analysis for maximisation of the yield of recovered oil</w:t>
      </w:r>
    </w:p>
    <w:tbl>
      <w:tblPr>
        <w:tblW w:w="4895" w:type="pct"/>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2724"/>
        <w:gridCol w:w="1419"/>
        <w:gridCol w:w="353"/>
        <w:gridCol w:w="1328"/>
        <w:gridCol w:w="793"/>
        <w:gridCol w:w="803"/>
        <w:gridCol w:w="1182"/>
      </w:tblGrid>
      <w:tr w:rsidR="006034DC" w14:paraId="56273E1B" w14:textId="77777777">
        <w:trPr>
          <w:trHeight w:val="291"/>
        </w:trPr>
        <w:tc>
          <w:tcPr>
            <w:tcW w:w="1583" w:type="pct"/>
            <w:tcBorders>
              <w:top w:val="single" w:sz="12" w:space="0" w:color="008000"/>
              <w:bottom w:val="single" w:sz="6" w:space="0" w:color="008000"/>
            </w:tcBorders>
            <w:shd w:val="clear" w:color="auto" w:fill="FFFFFF"/>
          </w:tcPr>
          <w:p w14:paraId="082BAD7D" w14:textId="77777777" w:rsidR="006034DC" w:rsidRDefault="00551235">
            <w:pPr>
              <w:pStyle w:val="CETBodytext"/>
              <w:rPr>
                <w:lang w:val="en-GB"/>
              </w:rPr>
            </w:pPr>
            <w:r>
              <w:rPr>
                <w:lang w:val="en-GB"/>
              </w:rPr>
              <w:t xml:space="preserve">Source </w:t>
            </w:r>
          </w:p>
        </w:tc>
        <w:tc>
          <w:tcPr>
            <w:tcW w:w="825" w:type="pct"/>
            <w:tcBorders>
              <w:top w:val="single" w:sz="12" w:space="0" w:color="008000"/>
              <w:bottom w:val="single" w:sz="6" w:space="0" w:color="008000"/>
            </w:tcBorders>
            <w:shd w:val="clear" w:color="auto" w:fill="FFFFFF"/>
          </w:tcPr>
          <w:p w14:paraId="0EAB4D0F" w14:textId="77777777" w:rsidR="006034DC" w:rsidRDefault="00551235">
            <w:pPr>
              <w:pStyle w:val="CETBodytext"/>
              <w:rPr>
                <w:lang w:val="en-GB"/>
              </w:rPr>
            </w:pPr>
            <w:r>
              <w:rPr>
                <w:lang w:val="en-GB"/>
              </w:rPr>
              <w:t>Sum of squares</w:t>
            </w:r>
          </w:p>
        </w:tc>
        <w:tc>
          <w:tcPr>
            <w:tcW w:w="205" w:type="pct"/>
            <w:tcBorders>
              <w:top w:val="single" w:sz="12" w:space="0" w:color="008000"/>
              <w:bottom w:val="single" w:sz="6" w:space="0" w:color="008000"/>
            </w:tcBorders>
            <w:shd w:val="clear" w:color="auto" w:fill="FFFFFF"/>
          </w:tcPr>
          <w:p w14:paraId="5CB803B7" w14:textId="77777777" w:rsidR="006034DC" w:rsidRDefault="00551235">
            <w:pPr>
              <w:pStyle w:val="CETBodytext"/>
              <w:rPr>
                <w:lang w:val="en-GB"/>
              </w:rPr>
            </w:pPr>
            <w:r>
              <w:rPr>
                <w:lang w:val="en-GB"/>
              </w:rPr>
              <w:t>df</w:t>
            </w:r>
          </w:p>
        </w:tc>
        <w:tc>
          <w:tcPr>
            <w:tcW w:w="772" w:type="pct"/>
            <w:tcBorders>
              <w:top w:val="single" w:sz="12" w:space="0" w:color="008000"/>
              <w:bottom w:val="single" w:sz="6" w:space="0" w:color="008000"/>
            </w:tcBorders>
            <w:shd w:val="clear" w:color="auto" w:fill="FFFFFF"/>
          </w:tcPr>
          <w:p w14:paraId="1A735BB6" w14:textId="77777777" w:rsidR="006034DC" w:rsidRDefault="00551235">
            <w:pPr>
              <w:pStyle w:val="CETBodytext"/>
              <w:ind w:right="-1"/>
              <w:rPr>
                <w:rFonts w:cs="Arial"/>
                <w:szCs w:val="18"/>
                <w:lang w:val="en-GB"/>
              </w:rPr>
            </w:pPr>
            <w:r>
              <w:rPr>
                <w:rFonts w:cs="Arial"/>
                <w:szCs w:val="18"/>
                <w:lang w:val="en-GB"/>
              </w:rPr>
              <w:t>Mean square</w:t>
            </w:r>
          </w:p>
        </w:tc>
        <w:tc>
          <w:tcPr>
            <w:tcW w:w="461" w:type="pct"/>
            <w:tcBorders>
              <w:top w:val="single" w:sz="12" w:space="0" w:color="008000"/>
              <w:bottom w:val="single" w:sz="6" w:space="0" w:color="008000"/>
            </w:tcBorders>
            <w:shd w:val="clear" w:color="auto" w:fill="FFFFFF"/>
          </w:tcPr>
          <w:p w14:paraId="56921734" w14:textId="77777777" w:rsidR="006034DC" w:rsidRDefault="00551235">
            <w:pPr>
              <w:pStyle w:val="CETBodytext"/>
              <w:ind w:right="-1"/>
              <w:rPr>
                <w:rFonts w:cs="Arial"/>
                <w:szCs w:val="18"/>
                <w:lang w:val="en-GB"/>
              </w:rPr>
            </w:pPr>
            <w:r>
              <w:rPr>
                <w:rFonts w:cs="Arial"/>
                <w:szCs w:val="18"/>
                <w:lang w:val="en-GB"/>
              </w:rPr>
              <w:t>F-Value</w:t>
            </w:r>
          </w:p>
        </w:tc>
        <w:tc>
          <w:tcPr>
            <w:tcW w:w="467" w:type="pct"/>
            <w:tcBorders>
              <w:top w:val="single" w:sz="12" w:space="0" w:color="008000"/>
              <w:bottom w:val="single" w:sz="6" w:space="0" w:color="008000"/>
            </w:tcBorders>
            <w:shd w:val="clear" w:color="auto" w:fill="FFFFFF"/>
          </w:tcPr>
          <w:p w14:paraId="3D9107AC" w14:textId="77777777" w:rsidR="006034DC" w:rsidRDefault="00551235">
            <w:pPr>
              <w:pStyle w:val="CETBodytext"/>
              <w:ind w:right="-1"/>
              <w:rPr>
                <w:rFonts w:cs="Arial"/>
                <w:szCs w:val="18"/>
                <w:lang w:val="en-GB"/>
              </w:rPr>
            </w:pPr>
            <w:r>
              <w:rPr>
                <w:rFonts w:cs="Arial"/>
                <w:szCs w:val="18"/>
                <w:lang w:val="en-GB"/>
              </w:rPr>
              <w:t>P-Value</w:t>
            </w:r>
          </w:p>
        </w:tc>
        <w:tc>
          <w:tcPr>
            <w:tcW w:w="688" w:type="pct"/>
            <w:tcBorders>
              <w:top w:val="single" w:sz="12" w:space="0" w:color="008000"/>
              <w:bottom w:val="single" w:sz="6" w:space="0" w:color="008000"/>
            </w:tcBorders>
            <w:shd w:val="clear" w:color="auto" w:fill="FFFFFF"/>
          </w:tcPr>
          <w:p w14:paraId="7FE02CE5" w14:textId="77777777" w:rsidR="006034DC" w:rsidRDefault="00551235">
            <w:pPr>
              <w:pStyle w:val="CETBodytext"/>
              <w:ind w:right="-1"/>
              <w:rPr>
                <w:rFonts w:cs="Arial"/>
                <w:szCs w:val="18"/>
                <w:lang w:val="en-GB"/>
              </w:rPr>
            </w:pPr>
            <w:r>
              <w:rPr>
                <w:rFonts w:cs="Arial"/>
                <w:szCs w:val="18"/>
                <w:lang w:val="en-GB"/>
              </w:rPr>
              <w:t>Comments</w:t>
            </w:r>
          </w:p>
        </w:tc>
      </w:tr>
      <w:tr w:rsidR="006034DC" w14:paraId="4A35371C" w14:textId="77777777">
        <w:trPr>
          <w:trHeight w:val="291"/>
        </w:trPr>
        <w:tc>
          <w:tcPr>
            <w:tcW w:w="1583" w:type="pct"/>
            <w:shd w:val="clear" w:color="auto" w:fill="FFFFFF"/>
          </w:tcPr>
          <w:p w14:paraId="3A8687D2" w14:textId="77777777" w:rsidR="006034DC" w:rsidRDefault="00551235">
            <w:pPr>
              <w:pStyle w:val="CETBodytext"/>
              <w:rPr>
                <w:lang w:val="en-GB"/>
              </w:rPr>
            </w:pPr>
            <w:r>
              <w:t>Model</w:t>
            </w:r>
          </w:p>
        </w:tc>
        <w:tc>
          <w:tcPr>
            <w:tcW w:w="825" w:type="pct"/>
            <w:shd w:val="clear" w:color="auto" w:fill="FFFFFF"/>
          </w:tcPr>
          <w:p w14:paraId="56156059" w14:textId="77777777" w:rsidR="006034DC" w:rsidRDefault="00551235">
            <w:pPr>
              <w:pStyle w:val="CETBodytext"/>
              <w:rPr>
                <w:lang w:val="en-GB"/>
              </w:rPr>
            </w:pPr>
            <w:r>
              <w:t>105.66</w:t>
            </w:r>
          </w:p>
        </w:tc>
        <w:tc>
          <w:tcPr>
            <w:tcW w:w="205" w:type="pct"/>
            <w:shd w:val="clear" w:color="auto" w:fill="FFFFFF"/>
          </w:tcPr>
          <w:p w14:paraId="0D1E271A" w14:textId="77777777" w:rsidR="006034DC" w:rsidRDefault="00551235">
            <w:pPr>
              <w:pStyle w:val="CETBodytext"/>
              <w:rPr>
                <w:lang w:val="en-GB"/>
              </w:rPr>
            </w:pPr>
            <w:r>
              <w:t>6</w:t>
            </w:r>
          </w:p>
        </w:tc>
        <w:tc>
          <w:tcPr>
            <w:tcW w:w="772" w:type="pct"/>
            <w:shd w:val="clear" w:color="auto" w:fill="FFFFFF"/>
          </w:tcPr>
          <w:p w14:paraId="58CED215" w14:textId="77777777" w:rsidR="006034DC" w:rsidRDefault="00551235">
            <w:pPr>
              <w:pStyle w:val="CETBodytext"/>
              <w:ind w:right="-1"/>
              <w:rPr>
                <w:rFonts w:cs="Arial"/>
                <w:szCs w:val="18"/>
                <w:lang w:val="en-GB"/>
              </w:rPr>
            </w:pPr>
            <w:r>
              <w:t>17.61</w:t>
            </w:r>
          </w:p>
        </w:tc>
        <w:tc>
          <w:tcPr>
            <w:tcW w:w="461" w:type="pct"/>
            <w:shd w:val="clear" w:color="auto" w:fill="FFFFFF"/>
          </w:tcPr>
          <w:p w14:paraId="115E4DF8" w14:textId="77777777" w:rsidR="006034DC" w:rsidRDefault="00551235">
            <w:pPr>
              <w:pStyle w:val="CETBodytext"/>
              <w:ind w:right="-1"/>
              <w:rPr>
                <w:rFonts w:cs="Arial"/>
                <w:szCs w:val="18"/>
                <w:lang w:val="en-GB"/>
              </w:rPr>
            </w:pPr>
            <w:r>
              <w:t>53.86</w:t>
            </w:r>
          </w:p>
        </w:tc>
        <w:tc>
          <w:tcPr>
            <w:tcW w:w="467" w:type="pct"/>
            <w:shd w:val="clear" w:color="auto" w:fill="FFFFFF"/>
          </w:tcPr>
          <w:p w14:paraId="69E1CA81" w14:textId="77777777" w:rsidR="006034DC" w:rsidRDefault="00551235">
            <w:pPr>
              <w:pStyle w:val="CETBodytext"/>
              <w:ind w:right="-1"/>
              <w:rPr>
                <w:rFonts w:cs="Arial"/>
                <w:szCs w:val="18"/>
                <w:lang w:val="en-GB"/>
              </w:rPr>
            </w:pPr>
            <w:r>
              <w:t>0.0183</w:t>
            </w:r>
          </w:p>
        </w:tc>
        <w:tc>
          <w:tcPr>
            <w:tcW w:w="688" w:type="pct"/>
            <w:shd w:val="clear" w:color="auto" w:fill="FFFFFF"/>
          </w:tcPr>
          <w:p w14:paraId="1622A589" w14:textId="77777777" w:rsidR="006034DC" w:rsidRDefault="00551235">
            <w:pPr>
              <w:pStyle w:val="CETBodytext"/>
              <w:ind w:right="-1"/>
              <w:rPr>
                <w:rFonts w:cs="Arial"/>
                <w:szCs w:val="18"/>
                <w:lang w:val="en-GB"/>
              </w:rPr>
            </w:pPr>
            <w:r>
              <w:t>Significant</w:t>
            </w:r>
          </w:p>
        </w:tc>
      </w:tr>
      <w:tr w:rsidR="006034DC" w14:paraId="4568D86F" w14:textId="77777777">
        <w:trPr>
          <w:trHeight w:val="310"/>
        </w:trPr>
        <w:tc>
          <w:tcPr>
            <w:tcW w:w="1583" w:type="pct"/>
            <w:shd w:val="clear" w:color="auto" w:fill="FFFFFF"/>
          </w:tcPr>
          <w:p w14:paraId="76900BCE" w14:textId="77777777" w:rsidR="006034DC" w:rsidRDefault="00551235">
            <w:pPr>
              <w:pStyle w:val="CETBodytext"/>
              <w:ind w:right="-1"/>
              <w:rPr>
                <w:rFonts w:cs="Arial"/>
                <w:szCs w:val="18"/>
                <w:lang w:val="en-GB"/>
              </w:rPr>
            </w:pPr>
            <w:r>
              <w:t>B-Refining Temperature</w:t>
            </w:r>
          </w:p>
        </w:tc>
        <w:tc>
          <w:tcPr>
            <w:tcW w:w="825" w:type="pct"/>
            <w:shd w:val="clear" w:color="auto" w:fill="FFFFFF"/>
          </w:tcPr>
          <w:p w14:paraId="0F21C77D" w14:textId="77777777" w:rsidR="006034DC" w:rsidRDefault="00551235">
            <w:pPr>
              <w:pStyle w:val="CETBodytext"/>
              <w:ind w:right="-1"/>
              <w:rPr>
                <w:rFonts w:cs="Arial"/>
                <w:szCs w:val="18"/>
                <w:lang w:val="en-GB"/>
              </w:rPr>
            </w:pPr>
            <w:r>
              <w:t>103.67</w:t>
            </w:r>
          </w:p>
        </w:tc>
        <w:tc>
          <w:tcPr>
            <w:tcW w:w="205" w:type="pct"/>
            <w:shd w:val="clear" w:color="auto" w:fill="FFFFFF"/>
          </w:tcPr>
          <w:p w14:paraId="1DEEBE62" w14:textId="77777777" w:rsidR="006034DC" w:rsidRDefault="00551235">
            <w:pPr>
              <w:pStyle w:val="CETBodytext"/>
              <w:ind w:right="-1"/>
              <w:rPr>
                <w:rFonts w:cs="Arial"/>
                <w:szCs w:val="18"/>
                <w:lang w:val="en-GB"/>
              </w:rPr>
            </w:pPr>
            <w:r>
              <w:t>2</w:t>
            </w:r>
          </w:p>
        </w:tc>
        <w:tc>
          <w:tcPr>
            <w:tcW w:w="772" w:type="pct"/>
            <w:shd w:val="clear" w:color="auto" w:fill="FFFFFF"/>
          </w:tcPr>
          <w:p w14:paraId="6B0A8360" w14:textId="77777777" w:rsidR="006034DC" w:rsidRDefault="00551235">
            <w:pPr>
              <w:pStyle w:val="CETBodytext"/>
              <w:ind w:right="-1"/>
              <w:rPr>
                <w:rFonts w:cs="Arial"/>
                <w:szCs w:val="18"/>
                <w:lang w:val="en-GB"/>
              </w:rPr>
            </w:pPr>
            <w:r>
              <w:t>51.83</w:t>
            </w:r>
          </w:p>
        </w:tc>
        <w:tc>
          <w:tcPr>
            <w:tcW w:w="461" w:type="pct"/>
            <w:shd w:val="clear" w:color="auto" w:fill="FFFFFF"/>
          </w:tcPr>
          <w:p w14:paraId="0D5EE88C" w14:textId="77777777" w:rsidR="006034DC" w:rsidRDefault="00551235">
            <w:pPr>
              <w:pStyle w:val="CETBodytext"/>
              <w:ind w:right="-1"/>
              <w:rPr>
                <w:rFonts w:cs="Arial"/>
                <w:szCs w:val="18"/>
                <w:lang w:val="en-GB"/>
              </w:rPr>
            </w:pPr>
            <w:r>
              <w:t>158.52</w:t>
            </w:r>
          </w:p>
        </w:tc>
        <w:tc>
          <w:tcPr>
            <w:tcW w:w="467" w:type="pct"/>
            <w:shd w:val="clear" w:color="auto" w:fill="FFFFFF"/>
          </w:tcPr>
          <w:p w14:paraId="0D0C0147" w14:textId="77777777" w:rsidR="006034DC" w:rsidRDefault="00551235">
            <w:pPr>
              <w:pStyle w:val="CETBodytext"/>
              <w:ind w:right="-1"/>
              <w:rPr>
                <w:rFonts w:cs="Arial"/>
                <w:szCs w:val="18"/>
                <w:lang w:val="en-GB"/>
              </w:rPr>
            </w:pPr>
            <w:r>
              <w:t>0.0063</w:t>
            </w:r>
          </w:p>
        </w:tc>
        <w:tc>
          <w:tcPr>
            <w:tcW w:w="688" w:type="pct"/>
            <w:shd w:val="clear" w:color="auto" w:fill="FFFFFF"/>
          </w:tcPr>
          <w:p w14:paraId="2099C009" w14:textId="77777777" w:rsidR="006034DC" w:rsidRDefault="006034DC">
            <w:pPr>
              <w:pStyle w:val="CETBodytext"/>
              <w:ind w:right="-1"/>
              <w:rPr>
                <w:rFonts w:cs="Arial"/>
                <w:szCs w:val="18"/>
                <w:lang w:val="en-GB"/>
              </w:rPr>
            </w:pPr>
          </w:p>
        </w:tc>
      </w:tr>
      <w:tr w:rsidR="006034DC" w14:paraId="29B7B902" w14:textId="77777777">
        <w:trPr>
          <w:trHeight w:val="291"/>
        </w:trPr>
        <w:tc>
          <w:tcPr>
            <w:tcW w:w="1583" w:type="pct"/>
            <w:shd w:val="clear" w:color="auto" w:fill="FFFFFF"/>
          </w:tcPr>
          <w:p w14:paraId="6243F8E2" w14:textId="77777777" w:rsidR="006034DC" w:rsidRDefault="00551235">
            <w:pPr>
              <w:pStyle w:val="CETBodytext"/>
              <w:ind w:right="-1"/>
              <w:rPr>
                <w:rFonts w:cs="Arial"/>
                <w:szCs w:val="18"/>
                <w:lang w:val="en-GB"/>
              </w:rPr>
            </w:pPr>
            <w:r>
              <w:t>C-Solvent to waste oil ratio</w:t>
            </w:r>
          </w:p>
        </w:tc>
        <w:tc>
          <w:tcPr>
            <w:tcW w:w="825" w:type="pct"/>
            <w:shd w:val="clear" w:color="auto" w:fill="FFFFFF"/>
          </w:tcPr>
          <w:p w14:paraId="64AFD8C8" w14:textId="77777777" w:rsidR="006034DC" w:rsidRDefault="00551235">
            <w:pPr>
              <w:pStyle w:val="CETBodytext"/>
              <w:ind w:right="-1"/>
              <w:rPr>
                <w:rFonts w:cs="Arial"/>
                <w:szCs w:val="18"/>
                <w:lang w:val="en-GB"/>
              </w:rPr>
            </w:pPr>
            <w:r>
              <w:t>0.8274</w:t>
            </w:r>
          </w:p>
        </w:tc>
        <w:tc>
          <w:tcPr>
            <w:tcW w:w="205" w:type="pct"/>
            <w:shd w:val="clear" w:color="auto" w:fill="FFFFFF"/>
          </w:tcPr>
          <w:p w14:paraId="491C52F6" w14:textId="77777777" w:rsidR="006034DC" w:rsidRDefault="00551235">
            <w:pPr>
              <w:pStyle w:val="CETBodytext"/>
              <w:ind w:right="-1"/>
              <w:rPr>
                <w:rFonts w:cs="Arial"/>
                <w:szCs w:val="18"/>
                <w:lang w:val="en-GB"/>
              </w:rPr>
            </w:pPr>
            <w:r>
              <w:t>2</w:t>
            </w:r>
          </w:p>
        </w:tc>
        <w:tc>
          <w:tcPr>
            <w:tcW w:w="772" w:type="pct"/>
            <w:shd w:val="clear" w:color="auto" w:fill="FFFFFF"/>
          </w:tcPr>
          <w:p w14:paraId="5EA78D31" w14:textId="77777777" w:rsidR="006034DC" w:rsidRDefault="00551235">
            <w:pPr>
              <w:pStyle w:val="CETBodytext"/>
              <w:ind w:right="-1"/>
              <w:rPr>
                <w:rFonts w:cs="Arial"/>
                <w:szCs w:val="18"/>
                <w:lang w:val="en-GB"/>
              </w:rPr>
            </w:pPr>
            <w:r>
              <w:t>0.4137</w:t>
            </w:r>
          </w:p>
        </w:tc>
        <w:tc>
          <w:tcPr>
            <w:tcW w:w="461" w:type="pct"/>
            <w:shd w:val="clear" w:color="auto" w:fill="FFFFFF"/>
          </w:tcPr>
          <w:p w14:paraId="5CE08B3B" w14:textId="77777777" w:rsidR="006034DC" w:rsidRDefault="00551235">
            <w:pPr>
              <w:pStyle w:val="CETBodytext"/>
              <w:ind w:right="-1"/>
              <w:rPr>
                <w:rFonts w:cs="Arial"/>
                <w:szCs w:val="18"/>
                <w:lang w:val="en-GB"/>
              </w:rPr>
            </w:pPr>
            <w:r>
              <w:t>1.27</w:t>
            </w:r>
          </w:p>
        </w:tc>
        <w:tc>
          <w:tcPr>
            <w:tcW w:w="467" w:type="pct"/>
            <w:shd w:val="clear" w:color="auto" w:fill="FFFFFF"/>
          </w:tcPr>
          <w:p w14:paraId="2D4A4EFF" w14:textId="77777777" w:rsidR="006034DC" w:rsidRDefault="00551235">
            <w:pPr>
              <w:pStyle w:val="CETBodytext"/>
              <w:ind w:right="-1"/>
              <w:rPr>
                <w:rFonts w:cs="Arial"/>
                <w:szCs w:val="18"/>
                <w:lang w:val="en-GB"/>
              </w:rPr>
            </w:pPr>
            <w:r>
              <w:t>0.4415</w:t>
            </w:r>
          </w:p>
        </w:tc>
        <w:tc>
          <w:tcPr>
            <w:tcW w:w="688" w:type="pct"/>
            <w:shd w:val="clear" w:color="auto" w:fill="FFFFFF"/>
          </w:tcPr>
          <w:p w14:paraId="16C54A15" w14:textId="77777777" w:rsidR="006034DC" w:rsidRDefault="006034DC">
            <w:pPr>
              <w:pStyle w:val="CETBodytext"/>
              <w:ind w:right="-1"/>
              <w:rPr>
                <w:rFonts w:cs="Arial"/>
                <w:szCs w:val="18"/>
                <w:lang w:val="en-GB"/>
              </w:rPr>
            </w:pPr>
          </w:p>
        </w:tc>
      </w:tr>
      <w:tr w:rsidR="006034DC" w14:paraId="57B01610" w14:textId="77777777">
        <w:trPr>
          <w:trHeight w:val="291"/>
        </w:trPr>
        <w:tc>
          <w:tcPr>
            <w:tcW w:w="1583" w:type="pct"/>
            <w:shd w:val="clear" w:color="auto" w:fill="FFFFFF"/>
          </w:tcPr>
          <w:p w14:paraId="0841501B" w14:textId="77777777" w:rsidR="006034DC" w:rsidRDefault="00551235">
            <w:pPr>
              <w:pStyle w:val="CETBodytext"/>
              <w:ind w:right="-1"/>
              <w:rPr>
                <w:rFonts w:cs="Arial"/>
                <w:szCs w:val="18"/>
                <w:lang w:val="en-GB"/>
              </w:rPr>
            </w:pPr>
            <w:r>
              <w:t>D-Flocculant Dosage</w:t>
            </w:r>
          </w:p>
        </w:tc>
        <w:tc>
          <w:tcPr>
            <w:tcW w:w="825" w:type="pct"/>
            <w:shd w:val="clear" w:color="auto" w:fill="FFFFFF"/>
          </w:tcPr>
          <w:p w14:paraId="4CAACF22" w14:textId="77777777" w:rsidR="006034DC" w:rsidRDefault="00551235">
            <w:pPr>
              <w:pStyle w:val="CETBodytext"/>
              <w:ind w:right="-1"/>
              <w:rPr>
                <w:rFonts w:cs="Arial"/>
                <w:szCs w:val="18"/>
                <w:lang w:val="en-GB"/>
              </w:rPr>
            </w:pPr>
            <w:r>
              <w:t>1.16</w:t>
            </w:r>
          </w:p>
        </w:tc>
        <w:tc>
          <w:tcPr>
            <w:tcW w:w="205" w:type="pct"/>
            <w:shd w:val="clear" w:color="auto" w:fill="FFFFFF"/>
          </w:tcPr>
          <w:p w14:paraId="4FD93573" w14:textId="77777777" w:rsidR="006034DC" w:rsidRDefault="00551235">
            <w:pPr>
              <w:pStyle w:val="CETBodytext"/>
              <w:ind w:right="-1"/>
              <w:rPr>
                <w:rFonts w:cs="Arial"/>
                <w:szCs w:val="18"/>
                <w:lang w:val="en-GB"/>
              </w:rPr>
            </w:pPr>
            <w:r>
              <w:t>2</w:t>
            </w:r>
          </w:p>
        </w:tc>
        <w:tc>
          <w:tcPr>
            <w:tcW w:w="772" w:type="pct"/>
            <w:shd w:val="clear" w:color="auto" w:fill="FFFFFF"/>
          </w:tcPr>
          <w:p w14:paraId="5AE45E68" w14:textId="77777777" w:rsidR="006034DC" w:rsidRDefault="00551235">
            <w:pPr>
              <w:pStyle w:val="CETBodytext"/>
              <w:ind w:right="-1"/>
              <w:rPr>
                <w:rFonts w:cs="Arial"/>
                <w:szCs w:val="18"/>
                <w:lang w:val="en-GB"/>
              </w:rPr>
            </w:pPr>
            <w:r>
              <w:t>0.5815</w:t>
            </w:r>
          </w:p>
        </w:tc>
        <w:tc>
          <w:tcPr>
            <w:tcW w:w="461" w:type="pct"/>
            <w:shd w:val="clear" w:color="auto" w:fill="FFFFFF"/>
          </w:tcPr>
          <w:p w14:paraId="0606AFA0" w14:textId="77777777" w:rsidR="006034DC" w:rsidRDefault="00551235">
            <w:pPr>
              <w:pStyle w:val="CETBodytext"/>
              <w:ind w:right="-1"/>
              <w:rPr>
                <w:rFonts w:cs="Arial"/>
                <w:szCs w:val="18"/>
                <w:lang w:val="en-GB"/>
              </w:rPr>
            </w:pPr>
            <w:r>
              <w:t>1.78</w:t>
            </w:r>
          </w:p>
        </w:tc>
        <w:tc>
          <w:tcPr>
            <w:tcW w:w="467" w:type="pct"/>
            <w:shd w:val="clear" w:color="auto" w:fill="FFFFFF"/>
          </w:tcPr>
          <w:p w14:paraId="498C398F" w14:textId="77777777" w:rsidR="006034DC" w:rsidRDefault="00551235">
            <w:pPr>
              <w:pStyle w:val="CETBodytext"/>
              <w:ind w:right="-1"/>
              <w:rPr>
                <w:rFonts w:cs="Arial"/>
                <w:szCs w:val="18"/>
                <w:lang w:val="en-GB"/>
              </w:rPr>
            </w:pPr>
            <w:r>
              <w:t>0.3599</w:t>
            </w:r>
          </w:p>
        </w:tc>
        <w:tc>
          <w:tcPr>
            <w:tcW w:w="688" w:type="pct"/>
            <w:shd w:val="clear" w:color="auto" w:fill="FFFFFF"/>
          </w:tcPr>
          <w:p w14:paraId="2388F1C7" w14:textId="77777777" w:rsidR="006034DC" w:rsidRDefault="006034DC">
            <w:pPr>
              <w:pStyle w:val="CETBodytext"/>
              <w:ind w:right="-1"/>
              <w:rPr>
                <w:rFonts w:cs="Arial"/>
                <w:szCs w:val="18"/>
                <w:lang w:val="en-GB"/>
              </w:rPr>
            </w:pPr>
          </w:p>
        </w:tc>
      </w:tr>
      <w:tr w:rsidR="006034DC" w14:paraId="3511496D" w14:textId="77777777">
        <w:trPr>
          <w:trHeight w:val="291"/>
        </w:trPr>
        <w:tc>
          <w:tcPr>
            <w:tcW w:w="1583" w:type="pct"/>
            <w:shd w:val="clear" w:color="auto" w:fill="FFFFFF"/>
          </w:tcPr>
          <w:p w14:paraId="194B5B8D" w14:textId="77777777" w:rsidR="006034DC" w:rsidRDefault="00551235">
            <w:pPr>
              <w:pStyle w:val="CETBodytext"/>
              <w:ind w:right="-1"/>
              <w:rPr>
                <w:rFonts w:cs="Arial"/>
                <w:szCs w:val="18"/>
                <w:lang w:val="en-GB"/>
              </w:rPr>
            </w:pPr>
            <w:r>
              <w:t>Residual</w:t>
            </w:r>
          </w:p>
        </w:tc>
        <w:tc>
          <w:tcPr>
            <w:tcW w:w="825" w:type="pct"/>
            <w:shd w:val="clear" w:color="auto" w:fill="FFFFFF"/>
          </w:tcPr>
          <w:p w14:paraId="7B03EDBC" w14:textId="77777777" w:rsidR="006034DC" w:rsidRDefault="00551235">
            <w:pPr>
              <w:pStyle w:val="CETBodytext"/>
              <w:ind w:right="-1"/>
              <w:rPr>
                <w:rFonts w:cs="Arial"/>
                <w:szCs w:val="18"/>
                <w:lang w:val="en-GB"/>
              </w:rPr>
            </w:pPr>
            <w:r>
              <w:t>0.6540</w:t>
            </w:r>
          </w:p>
        </w:tc>
        <w:tc>
          <w:tcPr>
            <w:tcW w:w="205" w:type="pct"/>
            <w:shd w:val="clear" w:color="auto" w:fill="FFFFFF"/>
          </w:tcPr>
          <w:p w14:paraId="60C44A5E" w14:textId="77777777" w:rsidR="006034DC" w:rsidRDefault="00551235">
            <w:pPr>
              <w:pStyle w:val="CETBodytext"/>
              <w:ind w:right="-1"/>
              <w:rPr>
                <w:rFonts w:cs="Arial"/>
                <w:szCs w:val="18"/>
                <w:lang w:val="en-GB"/>
              </w:rPr>
            </w:pPr>
            <w:r>
              <w:t>2</w:t>
            </w:r>
          </w:p>
        </w:tc>
        <w:tc>
          <w:tcPr>
            <w:tcW w:w="772" w:type="pct"/>
            <w:shd w:val="clear" w:color="auto" w:fill="FFFFFF"/>
          </w:tcPr>
          <w:p w14:paraId="6565E8C4" w14:textId="77777777" w:rsidR="006034DC" w:rsidRDefault="00551235">
            <w:pPr>
              <w:pStyle w:val="CETBodytext"/>
              <w:ind w:right="-1"/>
              <w:rPr>
                <w:rFonts w:cs="Arial"/>
                <w:szCs w:val="18"/>
                <w:lang w:val="en-GB"/>
              </w:rPr>
            </w:pPr>
            <w:r>
              <w:t>0.3270</w:t>
            </w:r>
          </w:p>
        </w:tc>
        <w:tc>
          <w:tcPr>
            <w:tcW w:w="461" w:type="pct"/>
            <w:shd w:val="clear" w:color="auto" w:fill="FFFFFF"/>
          </w:tcPr>
          <w:p w14:paraId="119F8145" w14:textId="77777777" w:rsidR="006034DC" w:rsidRDefault="006034DC">
            <w:pPr>
              <w:pStyle w:val="CETBodytext"/>
              <w:ind w:right="-1"/>
              <w:rPr>
                <w:rFonts w:cs="Arial"/>
                <w:szCs w:val="18"/>
                <w:lang w:val="en-GB"/>
              </w:rPr>
            </w:pPr>
          </w:p>
        </w:tc>
        <w:tc>
          <w:tcPr>
            <w:tcW w:w="467" w:type="pct"/>
            <w:shd w:val="clear" w:color="auto" w:fill="FFFFFF"/>
          </w:tcPr>
          <w:p w14:paraId="2F2EF448" w14:textId="77777777" w:rsidR="006034DC" w:rsidRDefault="006034DC">
            <w:pPr>
              <w:pStyle w:val="CETBodytext"/>
              <w:ind w:right="-1"/>
              <w:rPr>
                <w:rFonts w:cs="Arial"/>
                <w:szCs w:val="18"/>
                <w:lang w:val="en-GB"/>
              </w:rPr>
            </w:pPr>
          </w:p>
        </w:tc>
        <w:tc>
          <w:tcPr>
            <w:tcW w:w="688" w:type="pct"/>
            <w:shd w:val="clear" w:color="auto" w:fill="FFFFFF"/>
          </w:tcPr>
          <w:p w14:paraId="375E3B2F" w14:textId="77777777" w:rsidR="006034DC" w:rsidRDefault="006034DC">
            <w:pPr>
              <w:pStyle w:val="CETBodytext"/>
              <w:ind w:right="-1"/>
              <w:rPr>
                <w:rFonts w:cs="Arial"/>
                <w:szCs w:val="18"/>
                <w:lang w:val="en-GB"/>
              </w:rPr>
            </w:pPr>
          </w:p>
        </w:tc>
      </w:tr>
      <w:tr w:rsidR="006034DC" w14:paraId="64B09D4C" w14:textId="77777777">
        <w:trPr>
          <w:trHeight w:val="291"/>
        </w:trPr>
        <w:tc>
          <w:tcPr>
            <w:tcW w:w="1583" w:type="pct"/>
            <w:shd w:val="clear" w:color="auto" w:fill="FFFFFF"/>
          </w:tcPr>
          <w:p w14:paraId="733A9BC8" w14:textId="77777777" w:rsidR="006034DC" w:rsidRDefault="00551235">
            <w:pPr>
              <w:pStyle w:val="CETBodytext"/>
              <w:ind w:right="-1"/>
              <w:rPr>
                <w:rFonts w:cs="Arial"/>
                <w:szCs w:val="18"/>
                <w:lang w:val="en-GB"/>
              </w:rPr>
            </w:pPr>
            <w:r>
              <w:t>Cor Total</w:t>
            </w:r>
          </w:p>
        </w:tc>
        <w:tc>
          <w:tcPr>
            <w:tcW w:w="825" w:type="pct"/>
            <w:shd w:val="clear" w:color="auto" w:fill="FFFFFF"/>
          </w:tcPr>
          <w:p w14:paraId="2A7748E9" w14:textId="77777777" w:rsidR="006034DC" w:rsidRDefault="00551235">
            <w:pPr>
              <w:pStyle w:val="CETBodytext"/>
              <w:ind w:right="-1"/>
              <w:rPr>
                <w:rFonts w:cs="Arial"/>
                <w:szCs w:val="18"/>
                <w:lang w:val="en-GB"/>
              </w:rPr>
            </w:pPr>
            <w:r>
              <w:t>106.31</w:t>
            </w:r>
          </w:p>
        </w:tc>
        <w:tc>
          <w:tcPr>
            <w:tcW w:w="205" w:type="pct"/>
            <w:shd w:val="clear" w:color="auto" w:fill="FFFFFF"/>
          </w:tcPr>
          <w:p w14:paraId="3D34D2DC" w14:textId="77777777" w:rsidR="006034DC" w:rsidRDefault="00551235">
            <w:pPr>
              <w:pStyle w:val="CETBodytext"/>
              <w:ind w:right="-1"/>
              <w:rPr>
                <w:rFonts w:cs="Arial"/>
                <w:szCs w:val="18"/>
                <w:lang w:val="en-GB"/>
              </w:rPr>
            </w:pPr>
            <w:r>
              <w:t>8</w:t>
            </w:r>
          </w:p>
        </w:tc>
        <w:tc>
          <w:tcPr>
            <w:tcW w:w="772" w:type="pct"/>
            <w:shd w:val="clear" w:color="auto" w:fill="FFFFFF"/>
          </w:tcPr>
          <w:p w14:paraId="2E8A0EF3" w14:textId="77777777" w:rsidR="006034DC" w:rsidRDefault="006034DC">
            <w:pPr>
              <w:pStyle w:val="CETBodytext"/>
              <w:ind w:right="-1"/>
              <w:rPr>
                <w:rFonts w:cs="Arial"/>
                <w:szCs w:val="18"/>
                <w:lang w:val="en-GB"/>
              </w:rPr>
            </w:pPr>
          </w:p>
        </w:tc>
        <w:tc>
          <w:tcPr>
            <w:tcW w:w="461" w:type="pct"/>
            <w:shd w:val="clear" w:color="auto" w:fill="FFFFFF"/>
          </w:tcPr>
          <w:p w14:paraId="016C4FA1" w14:textId="77777777" w:rsidR="006034DC" w:rsidRDefault="006034DC">
            <w:pPr>
              <w:pStyle w:val="CETBodytext"/>
              <w:ind w:right="-1"/>
              <w:rPr>
                <w:rFonts w:cs="Arial"/>
                <w:szCs w:val="18"/>
                <w:lang w:val="en-GB"/>
              </w:rPr>
            </w:pPr>
          </w:p>
        </w:tc>
        <w:tc>
          <w:tcPr>
            <w:tcW w:w="467" w:type="pct"/>
            <w:shd w:val="clear" w:color="auto" w:fill="FFFFFF"/>
          </w:tcPr>
          <w:p w14:paraId="333794AD" w14:textId="77777777" w:rsidR="006034DC" w:rsidRDefault="006034DC">
            <w:pPr>
              <w:pStyle w:val="CETBodytext"/>
              <w:ind w:right="-1"/>
              <w:rPr>
                <w:rFonts w:cs="Arial"/>
                <w:szCs w:val="18"/>
                <w:lang w:val="en-GB"/>
              </w:rPr>
            </w:pPr>
          </w:p>
        </w:tc>
        <w:tc>
          <w:tcPr>
            <w:tcW w:w="688" w:type="pct"/>
            <w:shd w:val="clear" w:color="auto" w:fill="FFFFFF"/>
          </w:tcPr>
          <w:p w14:paraId="764F8BBC" w14:textId="77777777" w:rsidR="006034DC" w:rsidRDefault="006034DC">
            <w:pPr>
              <w:pStyle w:val="CETBodytext"/>
              <w:ind w:right="-1"/>
              <w:rPr>
                <w:rFonts w:cs="Arial"/>
                <w:szCs w:val="18"/>
                <w:lang w:val="en-GB"/>
              </w:rPr>
            </w:pPr>
          </w:p>
        </w:tc>
      </w:tr>
    </w:tbl>
    <w:p w14:paraId="668F67B7" w14:textId="77777777" w:rsidR="006034DC" w:rsidRDefault="00551235">
      <w:pPr>
        <w:pStyle w:val="CETTabletitle"/>
      </w:pPr>
      <w:r>
        <w:lastRenderedPageBreak/>
        <w:t>Table 4: Percentage contribution of each process parameters on recovered oil yield</w:t>
      </w:r>
    </w:p>
    <w:tbl>
      <w:tblPr>
        <w:tblW w:w="5000" w:type="pct"/>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5269"/>
        <w:gridCol w:w="3518"/>
      </w:tblGrid>
      <w:tr w:rsidR="006034DC" w14:paraId="73278DDF" w14:textId="77777777">
        <w:tc>
          <w:tcPr>
            <w:tcW w:w="2998" w:type="pct"/>
            <w:tcBorders>
              <w:top w:val="single" w:sz="12" w:space="0" w:color="008000"/>
              <w:bottom w:val="single" w:sz="6" w:space="0" w:color="008000"/>
            </w:tcBorders>
            <w:shd w:val="clear" w:color="auto" w:fill="FFFFFF"/>
          </w:tcPr>
          <w:p w14:paraId="268AC208" w14:textId="77777777" w:rsidR="006034DC" w:rsidRDefault="00551235">
            <w:pPr>
              <w:pStyle w:val="CETBodytext"/>
              <w:rPr>
                <w:lang w:val="en-GB"/>
              </w:rPr>
            </w:pPr>
            <w:r>
              <w:t>Parameters</w:t>
            </w:r>
          </w:p>
        </w:tc>
        <w:tc>
          <w:tcPr>
            <w:tcW w:w="2002" w:type="pct"/>
            <w:tcBorders>
              <w:top w:val="single" w:sz="12" w:space="0" w:color="008000"/>
              <w:bottom w:val="single" w:sz="6" w:space="0" w:color="008000"/>
            </w:tcBorders>
            <w:shd w:val="clear" w:color="auto" w:fill="FFFFFF"/>
          </w:tcPr>
          <w:p w14:paraId="34426B9F" w14:textId="77777777" w:rsidR="006034DC" w:rsidRDefault="00551235">
            <w:pPr>
              <w:pStyle w:val="CETBodytext"/>
              <w:rPr>
                <w:lang w:val="en-GB"/>
              </w:rPr>
            </w:pPr>
            <w:r>
              <w:t>Contribution factors (%)</w:t>
            </w:r>
          </w:p>
        </w:tc>
      </w:tr>
      <w:tr w:rsidR="006034DC" w14:paraId="4ECD7DED" w14:textId="77777777">
        <w:trPr>
          <w:trHeight w:val="145"/>
        </w:trPr>
        <w:tc>
          <w:tcPr>
            <w:tcW w:w="2998" w:type="pct"/>
            <w:shd w:val="clear" w:color="auto" w:fill="FFFFFF"/>
          </w:tcPr>
          <w:p w14:paraId="4F7A9F6B" w14:textId="77777777" w:rsidR="006034DC" w:rsidRDefault="00551235">
            <w:pPr>
              <w:pStyle w:val="CETBodytext"/>
              <w:rPr>
                <w:lang w:val="en-GB"/>
              </w:rPr>
            </w:pPr>
            <w:r>
              <w:t>Refining temperature (</w:t>
            </w:r>
            <w:r>
              <w:rPr>
                <w:rFonts w:ascii="Cambria Math" w:hAnsi="Cambria Math" w:cs="Cambria Math"/>
              </w:rPr>
              <w:t>℃</w:t>
            </w:r>
            <w:r>
              <w:t>)</w:t>
            </w:r>
          </w:p>
        </w:tc>
        <w:tc>
          <w:tcPr>
            <w:tcW w:w="2002" w:type="pct"/>
            <w:shd w:val="clear" w:color="auto" w:fill="FFFFFF"/>
          </w:tcPr>
          <w:p w14:paraId="2E42AC01" w14:textId="77777777" w:rsidR="006034DC" w:rsidRDefault="00551235">
            <w:pPr>
              <w:pStyle w:val="CETBodytext"/>
              <w:rPr>
                <w:lang w:val="en-GB"/>
              </w:rPr>
            </w:pPr>
            <w:r>
              <w:t>98.11</w:t>
            </w:r>
          </w:p>
        </w:tc>
      </w:tr>
      <w:tr w:rsidR="006034DC" w14:paraId="03F07D49" w14:textId="77777777">
        <w:tc>
          <w:tcPr>
            <w:tcW w:w="2998" w:type="pct"/>
            <w:shd w:val="clear" w:color="auto" w:fill="FFFFFF"/>
          </w:tcPr>
          <w:p w14:paraId="3C64C597" w14:textId="77777777" w:rsidR="006034DC" w:rsidRDefault="00551235">
            <w:pPr>
              <w:pStyle w:val="CETBodytext"/>
              <w:ind w:right="-1"/>
            </w:pPr>
            <w:r>
              <w:t>Solvent to waste oil (g/g)</w:t>
            </w:r>
          </w:p>
        </w:tc>
        <w:tc>
          <w:tcPr>
            <w:tcW w:w="2002" w:type="pct"/>
            <w:shd w:val="clear" w:color="auto" w:fill="FFFFFF"/>
          </w:tcPr>
          <w:p w14:paraId="00FCF931" w14:textId="77777777" w:rsidR="006034DC" w:rsidRDefault="00551235">
            <w:pPr>
              <w:pStyle w:val="CETBodytext"/>
              <w:ind w:right="-1"/>
              <w:rPr>
                <w:rFonts w:cs="Arial"/>
                <w:szCs w:val="18"/>
                <w:lang w:val="en-GB"/>
              </w:rPr>
            </w:pPr>
            <w:r>
              <w:t>0.78</w:t>
            </w:r>
          </w:p>
        </w:tc>
      </w:tr>
      <w:tr w:rsidR="006034DC" w14:paraId="5A68BB0E" w14:textId="77777777">
        <w:tc>
          <w:tcPr>
            <w:tcW w:w="2998" w:type="pct"/>
            <w:shd w:val="clear" w:color="auto" w:fill="FFFFFF"/>
          </w:tcPr>
          <w:p w14:paraId="3C02FAA4" w14:textId="77777777" w:rsidR="006034DC" w:rsidRDefault="00551235">
            <w:pPr>
              <w:pStyle w:val="CETBodytext"/>
              <w:ind w:right="-1"/>
            </w:pPr>
            <w:r>
              <w:t>Flocculant dosage (g/kg of solvents)</w:t>
            </w:r>
          </w:p>
        </w:tc>
        <w:tc>
          <w:tcPr>
            <w:tcW w:w="2002" w:type="pct"/>
            <w:shd w:val="clear" w:color="auto" w:fill="FFFFFF"/>
          </w:tcPr>
          <w:p w14:paraId="59562F7D" w14:textId="77777777" w:rsidR="006034DC" w:rsidRDefault="00551235">
            <w:pPr>
              <w:pStyle w:val="CETBodytext"/>
              <w:ind w:right="-1"/>
              <w:rPr>
                <w:rFonts w:cs="Arial"/>
                <w:szCs w:val="18"/>
                <w:lang w:val="en-GB"/>
              </w:rPr>
            </w:pPr>
            <w:r>
              <w:t>1.09</w:t>
            </w:r>
          </w:p>
        </w:tc>
      </w:tr>
    </w:tbl>
    <w:p w14:paraId="7EDCF075" w14:textId="77777777" w:rsidR="006034DC" w:rsidRDefault="00551235">
      <w:pPr>
        <w:pStyle w:val="CETTabletitle"/>
      </w:pPr>
      <w:r>
        <w:t>Table 5: Model Fit statistics</w:t>
      </w:r>
    </w:p>
    <w:tbl>
      <w:tblPr>
        <w:tblW w:w="5000" w:type="pct"/>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2320"/>
        <w:gridCol w:w="1290"/>
        <w:gridCol w:w="3655"/>
        <w:gridCol w:w="1522"/>
      </w:tblGrid>
      <w:tr w:rsidR="006034DC" w14:paraId="0D9E4729" w14:textId="77777777">
        <w:tc>
          <w:tcPr>
            <w:tcW w:w="1320" w:type="pct"/>
            <w:tcBorders>
              <w:top w:val="single" w:sz="12" w:space="0" w:color="008000"/>
              <w:bottom w:val="single" w:sz="6" w:space="0" w:color="008000"/>
            </w:tcBorders>
            <w:shd w:val="clear" w:color="auto" w:fill="FFFFFF"/>
          </w:tcPr>
          <w:p w14:paraId="7D01B9AD" w14:textId="77777777" w:rsidR="006034DC" w:rsidRDefault="00551235">
            <w:pPr>
              <w:pStyle w:val="CETBodytext"/>
              <w:rPr>
                <w:lang w:val="en-GB"/>
              </w:rPr>
            </w:pPr>
            <w:r>
              <w:t xml:space="preserve">     Std. Dev.</w:t>
            </w:r>
          </w:p>
        </w:tc>
        <w:tc>
          <w:tcPr>
            <w:tcW w:w="734" w:type="pct"/>
            <w:tcBorders>
              <w:top w:val="single" w:sz="12" w:space="0" w:color="008000"/>
              <w:bottom w:val="single" w:sz="6" w:space="0" w:color="008000"/>
            </w:tcBorders>
            <w:shd w:val="clear" w:color="auto" w:fill="FFFFFF"/>
          </w:tcPr>
          <w:p w14:paraId="463D27BF" w14:textId="77777777" w:rsidR="006034DC" w:rsidRDefault="00551235">
            <w:pPr>
              <w:pStyle w:val="CETBodytext"/>
              <w:rPr>
                <w:lang w:val="en-GB"/>
              </w:rPr>
            </w:pPr>
            <w:r>
              <w:t>0.5718</w:t>
            </w:r>
          </w:p>
        </w:tc>
        <w:tc>
          <w:tcPr>
            <w:tcW w:w="2080" w:type="pct"/>
            <w:tcBorders>
              <w:top w:val="single" w:sz="12" w:space="0" w:color="008000"/>
              <w:bottom w:val="single" w:sz="6" w:space="0" w:color="008000"/>
            </w:tcBorders>
            <w:shd w:val="clear" w:color="auto" w:fill="FFFFFF"/>
          </w:tcPr>
          <w:p w14:paraId="332A94A4" w14:textId="77777777" w:rsidR="006034DC" w:rsidRDefault="00551235">
            <w:pPr>
              <w:pStyle w:val="CETBodytext"/>
            </w:pPr>
            <w:r>
              <w:t>R²</w:t>
            </w:r>
          </w:p>
        </w:tc>
        <w:tc>
          <w:tcPr>
            <w:tcW w:w="866" w:type="pct"/>
            <w:tcBorders>
              <w:top w:val="single" w:sz="12" w:space="0" w:color="008000"/>
              <w:bottom w:val="single" w:sz="6" w:space="0" w:color="008000"/>
            </w:tcBorders>
            <w:shd w:val="clear" w:color="auto" w:fill="FFFFFF"/>
          </w:tcPr>
          <w:p w14:paraId="039531A5" w14:textId="77777777" w:rsidR="006034DC" w:rsidRDefault="00551235">
            <w:pPr>
              <w:pStyle w:val="CETBodytext"/>
            </w:pPr>
            <w:r>
              <w:t>0.9938</w:t>
            </w:r>
          </w:p>
        </w:tc>
      </w:tr>
      <w:tr w:rsidR="006034DC" w14:paraId="1F610C29" w14:textId="77777777">
        <w:tc>
          <w:tcPr>
            <w:tcW w:w="1320" w:type="pct"/>
            <w:shd w:val="clear" w:color="auto" w:fill="FFFFFF"/>
          </w:tcPr>
          <w:p w14:paraId="0C1C9690" w14:textId="77777777" w:rsidR="006034DC" w:rsidRDefault="00551235">
            <w:pPr>
              <w:pStyle w:val="CETBodytext"/>
              <w:rPr>
                <w:lang w:val="en-GB"/>
              </w:rPr>
            </w:pPr>
            <w:r>
              <w:t>Mean</w:t>
            </w:r>
          </w:p>
        </w:tc>
        <w:tc>
          <w:tcPr>
            <w:tcW w:w="734" w:type="pct"/>
            <w:shd w:val="clear" w:color="auto" w:fill="FFFFFF"/>
          </w:tcPr>
          <w:p w14:paraId="3FC8BB4C" w14:textId="77777777" w:rsidR="006034DC" w:rsidRDefault="00551235">
            <w:pPr>
              <w:pStyle w:val="CETBodytext"/>
              <w:rPr>
                <w:lang w:val="en-GB"/>
              </w:rPr>
            </w:pPr>
            <w:r>
              <w:t>87.56</w:t>
            </w:r>
          </w:p>
        </w:tc>
        <w:tc>
          <w:tcPr>
            <w:tcW w:w="2080" w:type="pct"/>
            <w:shd w:val="clear" w:color="auto" w:fill="FFFFFF"/>
          </w:tcPr>
          <w:p w14:paraId="12C63A2A" w14:textId="77777777" w:rsidR="006034DC" w:rsidRDefault="00551235">
            <w:pPr>
              <w:pStyle w:val="CETBodytext"/>
            </w:pPr>
            <w:r>
              <w:t>Adjusted R²</w:t>
            </w:r>
          </w:p>
        </w:tc>
        <w:tc>
          <w:tcPr>
            <w:tcW w:w="866" w:type="pct"/>
            <w:shd w:val="clear" w:color="auto" w:fill="FFFFFF"/>
          </w:tcPr>
          <w:p w14:paraId="59B211C8" w14:textId="77777777" w:rsidR="006034DC" w:rsidRDefault="00551235">
            <w:pPr>
              <w:pStyle w:val="CETBodytext"/>
            </w:pPr>
            <w:r>
              <w:t>0.9754</w:t>
            </w:r>
          </w:p>
        </w:tc>
      </w:tr>
      <w:tr w:rsidR="006034DC" w14:paraId="58A0CCB6" w14:textId="77777777">
        <w:tc>
          <w:tcPr>
            <w:tcW w:w="1320" w:type="pct"/>
            <w:shd w:val="clear" w:color="auto" w:fill="FFFFFF"/>
          </w:tcPr>
          <w:p w14:paraId="691C46F3" w14:textId="77777777" w:rsidR="006034DC" w:rsidRDefault="00551235">
            <w:pPr>
              <w:pStyle w:val="CETBodytext"/>
            </w:pPr>
            <w:r>
              <w:t>C.V. %</w:t>
            </w:r>
          </w:p>
        </w:tc>
        <w:tc>
          <w:tcPr>
            <w:tcW w:w="734" w:type="pct"/>
            <w:shd w:val="clear" w:color="auto" w:fill="FFFFFF"/>
          </w:tcPr>
          <w:p w14:paraId="7CDAD21B" w14:textId="77777777" w:rsidR="006034DC" w:rsidRDefault="00551235">
            <w:pPr>
              <w:pStyle w:val="CETBodytext"/>
            </w:pPr>
            <w:r>
              <w:t>0.6531</w:t>
            </w:r>
          </w:p>
        </w:tc>
        <w:tc>
          <w:tcPr>
            <w:tcW w:w="2080" w:type="pct"/>
            <w:shd w:val="clear" w:color="auto" w:fill="FFFFFF"/>
          </w:tcPr>
          <w:p w14:paraId="71BB6358" w14:textId="77777777" w:rsidR="006034DC" w:rsidRDefault="00551235">
            <w:pPr>
              <w:pStyle w:val="CETBodytext"/>
            </w:pPr>
            <w:r>
              <w:t>Predicted R²</w:t>
            </w:r>
          </w:p>
        </w:tc>
        <w:tc>
          <w:tcPr>
            <w:tcW w:w="866" w:type="pct"/>
            <w:shd w:val="clear" w:color="auto" w:fill="FFFFFF"/>
          </w:tcPr>
          <w:p w14:paraId="3CDF2BD1" w14:textId="77777777" w:rsidR="006034DC" w:rsidRDefault="00551235">
            <w:pPr>
              <w:pStyle w:val="CETBodytext"/>
            </w:pPr>
            <w:r>
              <w:t>0.8754</w:t>
            </w:r>
          </w:p>
        </w:tc>
      </w:tr>
      <w:tr w:rsidR="006034DC" w14:paraId="6EC027C4" w14:textId="77777777">
        <w:trPr>
          <w:trHeight w:val="121"/>
        </w:trPr>
        <w:tc>
          <w:tcPr>
            <w:tcW w:w="1320" w:type="pct"/>
            <w:shd w:val="clear" w:color="auto" w:fill="FFFFFF"/>
          </w:tcPr>
          <w:p w14:paraId="2BDA4F84" w14:textId="77777777" w:rsidR="006034DC" w:rsidRDefault="00551235">
            <w:pPr>
              <w:pStyle w:val="CETBodytext"/>
            </w:pPr>
            <w:r>
              <w:t>PRESS</w:t>
            </w:r>
          </w:p>
        </w:tc>
        <w:tc>
          <w:tcPr>
            <w:tcW w:w="734" w:type="pct"/>
            <w:shd w:val="clear" w:color="auto" w:fill="FFFFFF"/>
          </w:tcPr>
          <w:p w14:paraId="712935EB" w14:textId="77777777" w:rsidR="006034DC" w:rsidRDefault="00551235">
            <w:pPr>
              <w:pStyle w:val="CETBodytext"/>
            </w:pPr>
            <w:r>
              <w:t>13.24</w:t>
            </w:r>
          </w:p>
        </w:tc>
        <w:tc>
          <w:tcPr>
            <w:tcW w:w="2080" w:type="pct"/>
            <w:shd w:val="clear" w:color="auto" w:fill="FFFFFF"/>
          </w:tcPr>
          <w:p w14:paraId="550676B3" w14:textId="77777777" w:rsidR="006034DC" w:rsidRDefault="00551235">
            <w:pPr>
              <w:pStyle w:val="CETBodytext"/>
            </w:pPr>
            <w:r>
              <w:t>Adequate Precision</w:t>
            </w:r>
          </w:p>
        </w:tc>
        <w:tc>
          <w:tcPr>
            <w:tcW w:w="866" w:type="pct"/>
            <w:shd w:val="clear" w:color="auto" w:fill="FFFFFF"/>
          </w:tcPr>
          <w:p w14:paraId="74049474" w14:textId="77777777" w:rsidR="006034DC" w:rsidRDefault="00551235">
            <w:pPr>
              <w:pStyle w:val="CETBodytext"/>
            </w:pPr>
            <w:r>
              <w:t>19.6908</w:t>
            </w:r>
          </w:p>
        </w:tc>
      </w:tr>
    </w:tbl>
    <w:p w14:paraId="5CC26D55" w14:textId="77777777" w:rsidR="006034DC" w:rsidRDefault="00551235">
      <w:pPr>
        <w:pStyle w:val="CETheadingx"/>
      </w:pPr>
      <w:r>
        <w:t>Optimum condition and validation of model</w:t>
      </w:r>
    </w:p>
    <w:p w14:paraId="29E93BB5" w14:textId="77777777" w:rsidR="006034DC" w:rsidRDefault="00551235">
      <w:pPr>
        <w:pStyle w:val="CETCaption"/>
        <w:rPr>
          <w:i w:val="0"/>
        </w:rPr>
      </w:pPr>
      <w:r>
        <w:rPr>
          <w:i w:val="0"/>
        </w:rPr>
        <w:t xml:space="preserve">The operational parameter of eco-friendly extraction-flocculation process is being optimised to find the best parametric conditions for the maximisation of re- refined oil yield. To achieve a maximum conversion of 91.31 %, the following conditions were found to be optimal: (i) refining temperature - 80 </w:t>
      </w:r>
      <w:r>
        <w:rPr>
          <w:rFonts w:ascii="Cambria Math" w:hAnsi="Cambria Math" w:cs="Cambria Math"/>
          <w:i w:val="0"/>
        </w:rPr>
        <w:t>℃</w:t>
      </w:r>
      <w:r>
        <w:rPr>
          <w:i w:val="0"/>
        </w:rPr>
        <w:t>; (ii) refining time - 60 minutes; (iii) solvent-to-waste oil ratio - 3:1 g/g and (iv) flocculant concentration -1 g/kg of solvent. Table 6 summarises the optimum conditions for re-refining waste lubricant using Taguchi L9 orthogonal array.</w:t>
      </w:r>
    </w:p>
    <w:p w14:paraId="73A462D2" w14:textId="77777777" w:rsidR="006034DC" w:rsidRDefault="00551235">
      <w:pPr>
        <w:pStyle w:val="CETTabletitle"/>
      </w:pPr>
      <w:r>
        <w:t xml:space="preserve">Table 6: Optimum condition for maximising the yield % using Taguchi L9 </w:t>
      </w:r>
    </w:p>
    <w:tbl>
      <w:tblPr>
        <w:tblW w:w="5000" w:type="pct"/>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5269"/>
        <w:gridCol w:w="3518"/>
      </w:tblGrid>
      <w:tr w:rsidR="006034DC" w14:paraId="6170C6D3" w14:textId="77777777">
        <w:tc>
          <w:tcPr>
            <w:tcW w:w="2998" w:type="pct"/>
            <w:tcBorders>
              <w:top w:val="single" w:sz="12" w:space="0" w:color="008000"/>
              <w:bottom w:val="single" w:sz="6" w:space="0" w:color="008000"/>
            </w:tcBorders>
            <w:shd w:val="clear" w:color="auto" w:fill="FFFFFF"/>
          </w:tcPr>
          <w:p w14:paraId="04700ADA" w14:textId="77777777" w:rsidR="006034DC" w:rsidRDefault="00551235">
            <w:pPr>
              <w:pStyle w:val="CETBodytext"/>
              <w:rPr>
                <w:lang w:val="en-GB"/>
              </w:rPr>
            </w:pPr>
            <w:r>
              <w:t>Parameters</w:t>
            </w:r>
          </w:p>
        </w:tc>
        <w:tc>
          <w:tcPr>
            <w:tcW w:w="2002" w:type="pct"/>
            <w:tcBorders>
              <w:top w:val="single" w:sz="12" w:space="0" w:color="008000"/>
              <w:bottom w:val="single" w:sz="6" w:space="0" w:color="008000"/>
            </w:tcBorders>
            <w:shd w:val="clear" w:color="auto" w:fill="FFFFFF"/>
          </w:tcPr>
          <w:p w14:paraId="595D0AB6" w14:textId="77777777" w:rsidR="006034DC" w:rsidRDefault="00551235">
            <w:pPr>
              <w:pStyle w:val="CETBodytext"/>
              <w:rPr>
                <w:lang w:val="en-GB"/>
              </w:rPr>
            </w:pPr>
            <w:r>
              <w:t>Optimum Conditions</w:t>
            </w:r>
          </w:p>
        </w:tc>
      </w:tr>
      <w:tr w:rsidR="006034DC" w14:paraId="0437CA92" w14:textId="77777777">
        <w:trPr>
          <w:trHeight w:val="246"/>
        </w:trPr>
        <w:tc>
          <w:tcPr>
            <w:tcW w:w="2998" w:type="pct"/>
            <w:shd w:val="clear" w:color="auto" w:fill="FFFFFF"/>
          </w:tcPr>
          <w:p w14:paraId="3E887D45" w14:textId="77777777" w:rsidR="006034DC" w:rsidRDefault="00551235">
            <w:pPr>
              <w:pStyle w:val="CETBodytext"/>
              <w:rPr>
                <w:lang w:val="en-GB"/>
              </w:rPr>
            </w:pPr>
            <w:r>
              <w:t>Refining Temperature (</w:t>
            </w:r>
            <w:r>
              <w:rPr>
                <w:rFonts w:ascii="Cambria Math" w:hAnsi="Cambria Math" w:cs="Cambria Math"/>
              </w:rPr>
              <w:t>℃</w:t>
            </w:r>
            <w:r>
              <w:t>)</w:t>
            </w:r>
          </w:p>
        </w:tc>
        <w:tc>
          <w:tcPr>
            <w:tcW w:w="2002" w:type="pct"/>
            <w:shd w:val="clear" w:color="auto" w:fill="FFFFFF"/>
          </w:tcPr>
          <w:p w14:paraId="153A9A22" w14:textId="77777777" w:rsidR="006034DC" w:rsidRDefault="00551235">
            <w:pPr>
              <w:pStyle w:val="CETBodytext"/>
              <w:rPr>
                <w:lang w:val="en-GB"/>
              </w:rPr>
            </w:pPr>
            <w:r>
              <w:t>80</w:t>
            </w:r>
          </w:p>
        </w:tc>
      </w:tr>
      <w:tr w:rsidR="006034DC" w14:paraId="0DFAD34A" w14:textId="77777777">
        <w:tc>
          <w:tcPr>
            <w:tcW w:w="2998" w:type="pct"/>
            <w:shd w:val="clear" w:color="auto" w:fill="FFFFFF"/>
          </w:tcPr>
          <w:p w14:paraId="6B62E9B3" w14:textId="77777777" w:rsidR="006034DC" w:rsidRDefault="00551235">
            <w:pPr>
              <w:pStyle w:val="CETBodytext"/>
              <w:ind w:right="-1"/>
            </w:pPr>
            <w:r>
              <w:t>Refining Time (minutes)</w:t>
            </w:r>
          </w:p>
        </w:tc>
        <w:tc>
          <w:tcPr>
            <w:tcW w:w="2002" w:type="pct"/>
            <w:shd w:val="clear" w:color="auto" w:fill="FFFFFF"/>
          </w:tcPr>
          <w:p w14:paraId="4CAC6DBD" w14:textId="77777777" w:rsidR="006034DC" w:rsidRDefault="00551235">
            <w:pPr>
              <w:pStyle w:val="CETBodytext"/>
              <w:ind w:right="-1"/>
              <w:rPr>
                <w:rFonts w:cs="Arial"/>
                <w:szCs w:val="18"/>
                <w:lang w:val="en-GB"/>
              </w:rPr>
            </w:pPr>
            <w:r>
              <w:t>60</w:t>
            </w:r>
          </w:p>
        </w:tc>
      </w:tr>
      <w:tr w:rsidR="006034DC" w14:paraId="2DB8BC69" w14:textId="77777777">
        <w:tc>
          <w:tcPr>
            <w:tcW w:w="2998" w:type="pct"/>
            <w:shd w:val="clear" w:color="auto" w:fill="FFFFFF"/>
          </w:tcPr>
          <w:p w14:paraId="6A887960" w14:textId="77777777" w:rsidR="006034DC" w:rsidRDefault="00551235">
            <w:pPr>
              <w:pStyle w:val="CETBodytext"/>
              <w:ind w:right="-1"/>
            </w:pPr>
            <w:r>
              <w:t>Solvent to waste oil (g/g)</w:t>
            </w:r>
          </w:p>
        </w:tc>
        <w:tc>
          <w:tcPr>
            <w:tcW w:w="2002" w:type="pct"/>
            <w:shd w:val="clear" w:color="auto" w:fill="FFFFFF"/>
          </w:tcPr>
          <w:p w14:paraId="10A53A42" w14:textId="77777777" w:rsidR="006034DC" w:rsidRDefault="00551235">
            <w:pPr>
              <w:pStyle w:val="CETBodytext"/>
              <w:ind w:right="-1"/>
            </w:pPr>
            <w:r>
              <w:t>3:1</w:t>
            </w:r>
          </w:p>
        </w:tc>
      </w:tr>
      <w:tr w:rsidR="006034DC" w14:paraId="5C326E2A" w14:textId="77777777">
        <w:tc>
          <w:tcPr>
            <w:tcW w:w="2998" w:type="pct"/>
            <w:shd w:val="clear" w:color="auto" w:fill="FFFFFF"/>
          </w:tcPr>
          <w:p w14:paraId="2320D818" w14:textId="77777777" w:rsidR="006034DC" w:rsidRDefault="00551235">
            <w:pPr>
              <w:pStyle w:val="CETBodytext"/>
              <w:ind w:right="-1"/>
            </w:pPr>
            <w:r>
              <w:t>Flocculant dosage (g/kg of solvents)</w:t>
            </w:r>
          </w:p>
        </w:tc>
        <w:tc>
          <w:tcPr>
            <w:tcW w:w="2002" w:type="pct"/>
            <w:shd w:val="clear" w:color="auto" w:fill="FFFFFF"/>
          </w:tcPr>
          <w:p w14:paraId="3E0EE34A" w14:textId="77777777" w:rsidR="006034DC" w:rsidRDefault="00551235">
            <w:pPr>
              <w:pStyle w:val="CETBodytext"/>
              <w:ind w:right="-1"/>
              <w:rPr>
                <w:rFonts w:cs="Arial"/>
                <w:szCs w:val="18"/>
                <w:lang w:val="en-GB"/>
              </w:rPr>
            </w:pPr>
            <w:r>
              <w:t>1</w:t>
            </w:r>
          </w:p>
        </w:tc>
      </w:tr>
    </w:tbl>
    <w:p w14:paraId="15B92AC2" w14:textId="77777777" w:rsidR="006034DC" w:rsidRDefault="006034DC">
      <w:pPr>
        <w:pStyle w:val="CETBodytext"/>
        <w:ind w:left="360"/>
        <w:rPr>
          <w:lang w:val="en-GB"/>
        </w:rPr>
      </w:pPr>
    </w:p>
    <w:p w14:paraId="7BAA24B9" w14:textId="77777777" w:rsidR="006034DC" w:rsidRDefault="00551235">
      <w:pPr>
        <w:pStyle w:val="CETheadingx"/>
      </w:pPr>
      <w:r>
        <w:t>Fuel characteristics</w:t>
      </w:r>
    </w:p>
    <w:p w14:paraId="494FBBA7" w14:textId="77777777" w:rsidR="006034DC" w:rsidRDefault="00551235">
      <w:pPr>
        <w:pStyle w:val="CETBodytext"/>
        <w:rPr>
          <w:lang w:val="en-GB"/>
        </w:rPr>
      </w:pPr>
      <w:bookmarkStart w:id="1" w:name="_Hlk124969737"/>
      <w:r>
        <w:rPr>
          <w:lang w:val="en-GB"/>
        </w:rPr>
        <w:t>Table 7 shows the physicochemical properties of a virgin, waste and re-refined lubricating oil with extraction-flocculation process.</w:t>
      </w:r>
      <w:r>
        <w:t xml:space="preserve"> </w:t>
      </w:r>
      <w:r>
        <w:rPr>
          <w:lang w:val="en-GB"/>
        </w:rPr>
        <w:t xml:space="preserve">As a result of the presence of light ends in waste oil, the flash point of waste engine oil was reduced to 180 </w:t>
      </w:r>
      <w:r>
        <w:rPr>
          <w:rFonts w:ascii="Cambria Math" w:hAnsi="Cambria Math" w:cs="Cambria Math"/>
          <w:lang w:val="en-GB"/>
        </w:rPr>
        <w:t>℃</w:t>
      </w:r>
      <w:r>
        <w:rPr>
          <w:lang w:val="en-GB"/>
        </w:rPr>
        <w:t xml:space="preserve">, whereas, the flash point of virgin lubricating oil is 240 </w:t>
      </w:r>
      <w:r>
        <w:rPr>
          <w:rFonts w:ascii="Cambria Math" w:hAnsi="Cambria Math" w:cs="Cambria Math"/>
          <w:lang w:val="en-GB"/>
        </w:rPr>
        <w:t>℃</w:t>
      </w:r>
      <w:r>
        <w:rPr>
          <w:lang w:val="en-GB"/>
        </w:rPr>
        <w:t xml:space="preserve">. After the regeneration, the flash point of refined oil was increased considerably to the tune of 234 </w:t>
      </w:r>
      <w:r>
        <w:rPr>
          <w:rFonts w:ascii="Cambria Math" w:hAnsi="Cambria Math" w:cs="Cambria Math"/>
          <w:lang w:val="en-GB"/>
        </w:rPr>
        <w:t>℃</w:t>
      </w:r>
      <w:r>
        <w:rPr>
          <w:lang w:val="en-GB"/>
        </w:rPr>
        <w:t xml:space="preserve">, which implies satisfactory removal of remaining solvent, light ends and carbonaceous particles from waste oil </w:t>
      </w:r>
      <w:r>
        <w:rPr>
          <w:lang w:val="en-GB"/>
        </w:rPr>
        <w:fldChar w:fldCharType="begin" w:fldLock="1"/>
      </w:r>
      <w:r>
        <w:rPr>
          <w:lang w:val="en-GB"/>
        </w:rPr>
        <w:instrText>ADDIN CSL_CITATION {"citationItems":[{"id":"ITEM-1","itemData":{"DOI":"10.1016/j.cej.2012.12.076","ISSN":"13858947","abstract":"In this work, the recovery of base oils from waste lubricants was investigated using a novel combination of solvent extraction and adsorption on solids. The performance of six extracting solvents (n-hexane, 1-butanol, petroleum ether, 1-hexanol, carbon tetra chloride, and acetone) was evaluated experimentally. Solvent to oil ratios from 1:1 to 4:1 were also examined. This research has studied the effect of the use of KOH to enhance flocculation. The results show that 1-butanol achieved the best performance with the maximum percent sludge removal, followed by n-hexane, petroleum ether, 1-hexanol, carbon tetrachloride, and acetone. The percentage of oil sludge was found to increase with the increase of solvent to oil ratio until it reached the maximum at the ratio of 3:1. The application of an adsorption process using different adsorbent materials was investigated. Adsorbent materials such as almond shell, walnut shell, eggshell, and acid activated clay which were prepared locally were used. It was found that the acid activated clay was able to give the best conditions for treating the waste oil followed by the almond shell powder. The results from the test showed that, viscosity increased from 38.3cst for used lube oil to 85cst for acid/clay treatment and the flash point increase from 178°C to 238°C, while the density decreased from 912 to 896kg/m3, the pour point from -6 to -13.2°C and colour from 0.53 to 0.12. Other results from the different tests showed varying degrees of improvement with the best results obtained using the acid/clay treatment. © 2013 Elsevier B.V.","author":[{"dropping-particle":"","family":"Mohammed","given":"Rafie R.","non-dropping-particle":"","parse-names":false,"suffix":""},{"dropping-particle":"","family":"Ibrahim","given":"Inaam A.R.","non-dropping-particle":"","parse-names":false,"suffix":""},{"dropping-particle":"","family":"Taha","given":"Alladdin H.","non-dropping-particle":"","parse-names":false,"suffix":""},{"dropping-particle":"","family":"McKay","given":"Gordon","non-dropping-particle":"","parse-names":false,"suffix":""}],"container-title":"Chemical Engineering Journal","id":"ITEM-1","issued":{"date-parts":[["2013"]]},"page":"343-351","title":"Waste lubricating oil treatment by extraction and adsorption","type":"article-journal","volume":"220"},"uris":["http://www.mendeley.com/documents/?uuid=c8315e92-6eb2-4bb0-8063-dc3b5a772bde"]}],"mendeley":{"formattedCitation":"(Mohammed &lt;i&gt;et al.&lt;/i&gt;, 2013)","plainTextFormattedCitation":"(Mohammed et al., 2013)","previouslyFormattedCitation":"(Mohammed &lt;i&gt;et al.&lt;/i&gt;, 2013)"},"properties":{"noteIndex":0},"schema":"https://github.com/citation-style-language/schema/raw/master/csl-citation.json"}</w:instrText>
      </w:r>
      <w:r>
        <w:rPr>
          <w:lang w:val="en-GB"/>
        </w:rPr>
        <w:fldChar w:fldCharType="separate"/>
      </w:r>
      <w:r>
        <w:rPr>
          <w:lang w:val="en-GB"/>
        </w:rPr>
        <w:t>(Mohammed et al., 2013)</w:t>
      </w:r>
      <w:r>
        <w:rPr>
          <w:lang w:val="en-GB"/>
        </w:rPr>
        <w:fldChar w:fldCharType="end"/>
      </w:r>
      <w:r>
        <w:rPr>
          <w:lang w:val="en-GB"/>
        </w:rPr>
        <w:t xml:space="preserve">. Table 7 shows that the specific gravity of recovered oil is close to that of fresh oil. According to the results, the pour point of used oil (-27 </w:t>
      </w:r>
      <w:r>
        <w:rPr>
          <w:rFonts w:ascii="Cambria Math" w:hAnsi="Cambria Math" w:cs="Cambria Math"/>
          <w:lang w:val="en-GB"/>
        </w:rPr>
        <w:t>℃)</w:t>
      </w:r>
      <w:r>
        <w:rPr>
          <w:lang w:val="en-GB"/>
        </w:rPr>
        <w:t xml:space="preserve"> is higher than that of fresh oil (-35 </w:t>
      </w:r>
      <w:r>
        <w:rPr>
          <w:rFonts w:ascii="Cambria Math" w:hAnsi="Cambria Math" w:cs="Cambria Math"/>
          <w:lang w:val="en-GB"/>
        </w:rPr>
        <w:t>℃)</w:t>
      </w:r>
      <w:r>
        <w:rPr>
          <w:lang w:val="en-GB"/>
        </w:rPr>
        <w:t xml:space="preserve"> due to degradation of additives. Pour point of recovered oil was -33 </w:t>
      </w:r>
      <w:r>
        <w:rPr>
          <w:rFonts w:ascii="Cambria Math" w:hAnsi="Cambria Math" w:cs="Cambria Math"/>
          <w:lang w:val="en-GB"/>
        </w:rPr>
        <w:t>℃</w:t>
      </w:r>
      <w:r>
        <w:rPr>
          <w:lang w:val="en-GB"/>
        </w:rPr>
        <w:t xml:space="preserve">. This was due to the exclusion of degraded additives and oxidative products. The kinematic viscosity of used oil @40 </w:t>
      </w:r>
      <w:r>
        <w:rPr>
          <w:rFonts w:ascii="Cambria Math" w:hAnsi="Cambria Math" w:cs="Cambria Math"/>
          <w:lang w:val="en-GB"/>
        </w:rPr>
        <w:t>℃</w:t>
      </w:r>
      <w:r>
        <w:rPr>
          <w:lang w:val="en-GB"/>
        </w:rPr>
        <w:t xml:space="preserve"> and @100 </w:t>
      </w:r>
      <w:r>
        <w:rPr>
          <w:rFonts w:ascii="Cambria Math" w:hAnsi="Cambria Math" w:cs="Cambria Math"/>
          <w:lang w:val="en-GB"/>
        </w:rPr>
        <w:t>℃</w:t>
      </w:r>
      <w:r>
        <w:rPr>
          <w:lang w:val="en-GB"/>
        </w:rPr>
        <w:t xml:space="preserve"> are 115.38 cSt and 14.30 cSt respectively. In contrast, the Kinematic viscosity of recovered oil @40 </w:t>
      </w:r>
      <w:r>
        <w:rPr>
          <w:rFonts w:ascii="Cambria Math" w:hAnsi="Cambria Math" w:cs="Cambria Math"/>
          <w:lang w:val="en-GB"/>
        </w:rPr>
        <w:t>℃</w:t>
      </w:r>
      <w:r>
        <w:rPr>
          <w:lang w:val="en-GB"/>
        </w:rPr>
        <w:t xml:space="preserve"> and @100 </w:t>
      </w:r>
      <w:r>
        <w:rPr>
          <w:rFonts w:ascii="Cambria Math" w:hAnsi="Cambria Math" w:cs="Cambria Math"/>
          <w:lang w:val="en-GB"/>
        </w:rPr>
        <w:t>℃</w:t>
      </w:r>
      <w:r>
        <w:rPr>
          <w:lang w:val="en-GB"/>
        </w:rPr>
        <w:t xml:space="preserve"> are 155.21 cSt and 17.11 cSt, respectively. It is evident from the result of the physicochemical characteristics of refined oil that the improvement of kinematic viscosities is mainly because of the precipitation of condensed products and oxidised products as sludge  </w:t>
      </w:r>
      <w:r>
        <w:rPr>
          <w:lang w:val="en-GB"/>
        </w:rPr>
        <w:fldChar w:fldCharType="begin" w:fldLock="1"/>
      </w:r>
      <w:r>
        <w:rPr>
          <w:lang w:val="en-GB"/>
        </w:rPr>
        <w:instrText>ADDIN CSL_CITATION {"citationItems":[{"id":"ITEM-1","itemData":{"DOI":"10.1016/j.cej.2012.12.076","ISSN":"13858947","abstract":"In this work, the recovery of base oils from waste lubricants was investigated using a novel combination of solvent extraction and adsorption on solids. The performance of six extracting solvents (n-hexane, 1-butanol, petroleum ether, 1-hexanol, carbon tetra chloride, and acetone) was evaluated experimentally. Solvent to oil ratios from 1:1 to 4:1 were also examined. This research has studied the effect of the use of KOH to enhance flocculation. The results show that 1-butanol achieved the best performance with the maximum percent sludge removal, followed by n-hexane, petroleum ether, 1-hexanol, carbon tetrachloride, and acetone. The percentage of oil sludge was found to increase with the increase of solvent to oil ratio until it reached the maximum at the ratio of 3:1. The application of an adsorption process using different adsorbent materials was investigated. Adsorbent materials such as almond shell, walnut shell, eggshell, and acid activated clay which were prepared locally were used. It was found that the acid activated clay was able to give the best conditions for treating the waste oil followed by the almond shell powder. The results from the test showed that, viscosity increased from 38.3cst for used lube oil to 85cst for acid/clay treatment and the flash point increase from 178°C to 238°C, while the density decreased from 912 to 896kg/m3, the pour point from -6 to -13.2°C and colour from 0.53 to 0.12. Other results from the different tests showed varying degrees of improvement with the best results obtained using the acid/clay treatment. © 2013 Elsevier B.V.","author":[{"dropping-particle":"","family":"Mohammed","given":"Rafie R.","non-dropping-particle":"","parse-names":false,"suffix":""},{"dropping-particle":"","family":"Ibrahim","given":"Inaam A.R.","non-dropping-particle":"","parse-names":false,"suffix":""},{"dropping-particle":"","family":"Taha","given":"Alladdin H.","non-dropping-particle":"","parse-names":false,"suffix":""},{"dropping-particle":"","family":"McKay","given":"Gordon","non-dropping-particle":"","parse-names":false,"suffix":""}],"container-title":"Chemical Engineering Journal","id":"ITEM-1","issued":{"date-parts":[["2013"]]},"page":"343-351","title":"Waste lubricating oil treatment by extraction and adsorption","type":"article-journal","volume":"220"},"uris":["http://www.mendeley.com/documents/?uuid=c8315e92-6eb2-4bb0-8063-dc3b5a772bde"]}],"mendeley":{"formattedCitation":"(Mohammed &lt;i&gt;et al.&lt;/i&gt;, 2013)","plainTextFormattedCitation":"(Mohammed et al., 2013)","previouslyFormattedCitation":"(Mohammed &lt;i&gt;et al.&lt;/i&gt;, 2013)"},"properties":{"noteIndex":0},"schema":"https://github.com/citation-style-language/schema/raw/master/csl-citation.json"}</w:instrText>
      </w:r>
      <w:r>
        <w:rPr>
          <w:lang w:val="en-GB"/>
        </w:rPr>
        <w:fldChar w:fldCharType="separate"/>
      </w:r>
      <w:r>
        <w:rPr>
          <w:lang w:val="en-GB"/>
        </w:rPr>
        <w:t xml:space="preserve">(Mohammed </w:t>
      </w:r>
      <w:r>
        <w:rPr>
          <w:i/>
          <w:lang w:val="en-GB"/>
        </w:rPr>
        <w:t>et al.</w:t>
      </w:r>
      <w:r>
        <w:rPr>
          <w:lang w:val="en-GB"/>
        </w:rPr>
        <w:t>, 2013)</w:t>
      </w:r>
      <w:r>
        <w:rPr>
          <w:lang w:val="en-GB"/>
        </w:rPr>
        <w:fldChar w:fldCharType="end"/>
      </w:r>
      <w:r>
        <w:rPr>
          <w:lang w:val="en-GB"/>
        </w:rPr>
        <w:t>.</w:t>
      </w:r>
      <w:bookmarkEnd w:id="1"/>
    </w:p>
    <w:p w14:paraId="12DEC59F" w14:textId="77777777" w:rsidR="006034DC" w:rsidRDefault="00551235">
      <w:pPr>
        <w:pStyle w:val="CETTabletitle"/>
      </w:pPr>
      <w:r>
        <w:t>Table 7: Physicochemical Characteristics of virgin, waste and refined lubricating oil</w:t>
      </w:r>
    </w:p>
    <w:tbl>
      <w:tblPr>
        <w:tblW w:w="9386" w:type="dxa"/>
        <w:tblBorders>
          <w:top w:val="single" w:sz="12" w:space="0" w:color="008000"/>
          <w:bottom w:val="single" w:sz="12" w:space="0" w:color="008000"/>
        </w:tblBorders>
        <w:shd w:val="clear" w:color="auto" w:fill="FFFFFF"/>
        <w:tblCellMar>
          <w:left w:w="0" w:type="dxa"/>
          <w:right w:w="0" w:type="dxa"/>
        </w:tblCellMar>
        <w:tblLook w:val="04A0" w:firstRow="1" w:lastRow="0" w:firstColumn="1" w:lastColumn="0" w:noHBand="0" w:noVBand="1"/>
      </w:tblPr>
      <w:tblGrid>
        <w:gridCol w:w="2348"/>
        <w:gridCol w:w="2346"/>
        <w:gridCol w:w="2346"/>
        <w:gridCol w:w="2346"/>
      </w:tblGrid>
      <w:tr w:rsidR="006034DC" w14:paraId="2DA708B5" w14:textId="77777777">
        <w:trPr>
          <w:trHeight w:val="352"/>
        </w:trPr>
        <w:tc>
          <w:tcPr>
            <w:tcW w:w="2348" w:type="dxa"/>
            <w:tcBorders>
              <w:top w:val="single" w:sz="12" w:space="0" w:color="008000"/>
              <w:bottom w:val="single" w:sz="6" w:space="0" w:color="008000"/>
            </w:tcBorders>
            <w:shd w:val="clear" w:color="auto" w:fill="FFFFFF"/>
          </w:tcPr>
          <w:p w14:paraId="075010F9" w14:textId="77777777" w:rsidR="006034DC" w:rsidRDefault="00551235">
            <w:pPr>
              <w:pStyle w:val="CETBodytext"/>
              <w:rPr>
                <w:lang w:val="en-GB"/>
              </w:rPr>
            </w:pPr>
            <w:r>
              <w:rPr>
                <w:szCs w:val="22"/>
              </w:rPr>
              <w:t>Properties</w:t>
            </w:r>
          </w:p>
        </w:tc>
        <w:tc>
          <w:tcPr>
            <w:tcW w:w="2346" w:type="dxa"/>
            <w:tcBorders>
              <w:top w:val="single" w:sz="12" w:space="0" w:color="008000"/>
              <w:bottom w:val="single" w:sz="6" w:space="0" w:color="008000"/>
            </w:tcBorders>
            <w:shd w:val="clear" w:color="auto" w:fill="FFFFFF"/>
          </w:tcPr>
          <w:p w14:paraId="25A7DA61" w14:textId="77777777" w:rsidR="006034DC" w:rsidRDefault="00551235">
            <w:pPr>
              <w:pStyle w:val="CETBodytext"/>
              <w:rPr>
                <w:lang w:val="en-GB"/>
              </w:rPr>
            </w:pPr>
            <w:r>
              <w:rPr>
                <w:szCs w:val="22"/>
              </w:rPr>
              <w:t>Virgin lubricating oil</w:t>
            </w:r>
          </w:p>
        </w:tc>
        <w:tc>
          <w:tcPr>
            <w:tcW w:w="2346" w:type="dxa"/>
            <w:tcBorders>
              <w:top w:val="single" w:sz="12" w:space="0" w:color="008000"/>
              <w:bottom w:val="single" w:sz="6" w:space="0" w:color="008000"/>
            </w:tcBorders>
            <w:shd w:val="clear" w:color="auto" w:fill="FFFFFF"/>
          </w:tcPr>
          <w:p w14:paraId="33717E60" w14:textId="77777777" w:rsidR="006034DC" w:rsidRDefault="00551235">
            <w:pPr>
              <w:pStyle w:val="CETBodytext"/>
              <w:rPr>
                <w:lang w:val="en-GB"/>
              </w:rPr>
            </w:pPr>
            <w:r>
              <w:rPr>
                <w:szCs w:val="22"/>
              </w:rPr>
              <w:t>Waste lubricating oil</w:t>
            </w:r>
          </w:p>
        </w:tc>
        <w:tc>
          <w:tcPr>
            <w:tcW w:w="2346" w:type="dxa"/>
            <w:tcBorders>
              <w:top w:val="single" w:sz="12" w:space="0" w:color="008000"/>
              <w:bottom w:val="single" w:sz="6" w:space="0" w:color="008000"/>
            </w:tcBorders>
            <w:shd w:val="clear" w:color="auto" w:fill="FFFFFF"/>
          </w:tcPr>
          <w:p w14:paraId="2409F920" w14:textId="77777777" w:rsidR="006034DC" w:rsidRDefault="00551235">
            <w:pPr>
              <w:pStyle w:val="CETBodytext"/>
              <w:ind w:right="-1"/>
              <w:rPr>
                <w:rFonts w:cs="Arial"/>
                <w:szCs w:val="18"/>
                <w:lang w:val="en-GB"/>
              </w:rPr>
            </w:pPr>
            <w:r>
              <w:rPr>
                <w:rFonts w:cs="Arial"/>
                <w:szCs w:val="18"/>
                <w:lang w:val="en-GB"/>
              </w:rPr>
              <w:t>Re-refined lubricating oil</w:t>
            </w:r>
          </w:p>
        </w:tc>
      </w:tr>
      <w:tr w:rsidR="006034DC" w14:paraId="05B4E85A" w14:textId="77777777">
        <w:trPr>
          <w:trHeight w:val="274"/>
        </w:trPr>
        <w:tc>
          <w:tcPr>
            <w:tcW w:w="2348" w:type="dxa"/>
            <w:shd w:val="clear" w:color="auto" w:fill="FFFFFF"/>
          </w:tcPr>
          <w:p w14:paraId="7C05D78D" w14:textId="77777777" w:rsidR="006034DC" w:rsidRDefault="00551235">
            <w:pPr>
              <w:pStyle w:val="CETBodytext"/>
              <w:rPr>
                <w:lang w:val="en-GB"/>
              </w:rPr>
            </w:pPr>
            <w:r>
              <w:rPr>
                <w:szCs w:val="22"/>
              </w:rPr>
              <w:t>Kinematic Viscosity, @40℃</w:t>
            </w:r>
          </w:p>
        </w:tc>
        <w:tc>
          <w:tcPr>
            <w:tcW w:w="2346" w:type="dxa"/>
            <w:shd w:val="clear" w:color="auto" w:fill="FFFFFF"/>
          </w:tcPr>
          <w:p w14:paraId="072B2739" w14:textId="77777777" w:rsidR="006034DC" w:rsidRDefault="00551235">
            <w:pPr>
              <w:pStyle w:val="CETBodytext"/>
              <w:rPr>
                <w:lang w:val="en-GB"/>
              </w:rPr>
            </w:pPr>
            <w:r>
              <w:rPr>
                <w:lang w:val="en-GB"/>
              </w:rPr>
              <w:t xml:space="preserve">        164</w:t>
            </w:r>
          </w:p>
        </w:tc>
        <w:tc>
          <w:tcPr>
            <w:tcW w:w="2346" w:type="dxa"/>
            <w:shd w:val="clear" w:color="auto" w:fill="FFFFFF"/>
          </w:tcPr>
          <w:p w14:paraId="1D8C77DF" w14:textId="77777777" w:rsidR="006034DC" w:rsidRDefault="00551235">
            <w:pPr>
              <w:pStyle w:val="CETBodytext"/>
              <w:jc w:val="left"/>
              <w:rPr>
                <w:lang w:val="en-GB"/>
              </w:rPr>
            </w:pPr>
            <w:r>
              <w:rPr>
                <w:lang w:val="en-GB"/>
              </w:rPr>
              <w:t>115.38</w:t>
            </w:r>
          </w:p>
        </w:tc>
        <w:tc>
          <w:tcPr>
            <w:tcW w:w="2346" w:type="dxa"/>
            <w:shd w:val="clear" w:color="auto" w:fill="FFFFFF"/>
          </w:tcPr>
          <w:p w14:paraId="30DF6866" w14:textId="77777777" w:rsidR="006034DC" w:rsidRDefault="00551235">
            <w:pPr>
              <w:pStyle w:val="CETBodytext"/>
              <w:ind w:right="-1"/>
              <w:rPr>
                <w:rFonts w:cs="Arial"/>
                <w:szCs w:val="18"/>
                <w:lang w:val="en-GB"/>
              </w:rPr>
            </w:pPr>
            <w:r>
              <w:rPr>
                <w:rFonts w:cs="Arial"/>
                <w:szCs w:val="18"/>
                <w:lang w:val="en-GB"/>
              </w:rPr>
              <w:t>155.21</w:t>
            </w:r>
          </w:p>
        </w:tc>
      </w:tr>
      <w:tr w:rsidR="006034DC" w14:paraId="317073EF" w14:textId="77777777">
        <w:trPr>
          <w:trHeight w:val="159"/>
        </w:trPr>
        <w:tc>
          <w:tcPr>
            <w:tcW w:w="2348" w:type="dxa"/>
            <w:shd w:val="clear" w:color="auto" w:fill="FFFFFF"/>
          </w:tcPr>
          <w:p w14:paraId="08426944" w14:textId="77777777" w:rsidR="006034DC" w:rsidRDefault="00551235">
            <w:pPr>
              <w:pStyle w:val="CETBodytext"/>
              <w:rPr>
                <w:szCs w:val="22"/>
              </w:rPr>
            </w:pPr>
            <w:r>
              <w:rPr>
                <w:szCs w:val="22"/>
              </w:rPr>
              <w:t>Kinematic Viscosity, 100℃</w:t>
            </w:r>
          </w:p>
        </w:tc>
        <w:tc>
          <w:tcPr>
            <w:tcW w:w="2346" w:type="dxa"/>
            <w:shd w:val="clear" w:color="auto" w:fill="FFFFFF"/>
          </w:tcPr>
          <w:p w14:paraId="76CCFB64" w14:textId="77777777" w:rsidR="006034DC" w:rsidRDefault="00551235">
            <w:pPr>
              <w:pStyle w:val="CETBodytext"/>
              <w:jc w:val="left"/>
              <w:rPr>
                <w:lang w:val="en-GB"/>
              </w:rPr>
            </w:pPr>
            <w:r>
              <w:rPr>
                <w:lang w:val="en-GB"/>
              </w:rPr>
              <w:t xml:space="preserve">        18.75</w:t>
            </w:r>
          </w:p>
        </w:tc>
        <w:tc>
          <w:tcPr>
            <w:tcW w:w="2346" w:type="dxa"/>
            <w:shd w:val="clear" w:color="auto" w:fill="FFFFFF"/>
          </w:tcPr>
          <w:p w14:paraId="30D5132E" w14:textId="77777777" w:rsidR="006034DC" w:rsidRDefault="00551235">
            <w:pPr>
              <w:pStyle w:val="CETBodytext"/>
              <w:rPr>
                <w:lang w:val="en-GB"/>
              </w:rPr>
            </w:pPr>
            <w:r>
              <w:rPr>
                <w:lang w:val="en-GB"/>
              </w:rPr>
              <w:t>14.30</w:t>
            </w:r>
          </w:p>
        </w:tc>
        <w:tc>
          <w:tcPr>
            <w:tcW w:w="2346" w:type="dxa"/>
            <w:shd w:val="clear" w:color="auto" w:fill="FFFFFF"/>
          </w:tcPr>
          <w:p w14:paraId="794D9C41" w14:textId="77777777" w:rsidR="006034DC" w:rsidRDefault="00551235">
            <w:pPr>
              <w:pStyle w:val="CETBodytext"/>
              <w:ind w:right="-1"/>
              <w:rPr>
                <w:rFonts w:cs="Arial"/>
                <w:szCs w:val="18"/>
                <w:lang w:val="en-GB"/>
              </w:rPr>
            </w:pPr>
            <w:r>
              <w:rPr>
                <w:rFonts w:cs="Arial"/>
                <w:szCs w:val="18"/>
                <w:lang w:val="en-GB"/>
              </w:rPr>
              <w:t>17.11</w:t>
            </w:r>
          </w:p>
        </w:tc>
      </w:tr>
      <w:tr w:rsidR="006034DC" w14:paraId="68605E99" w14:textId="77777777">
        <w:trPr>
          <w:trHeight w:val="215"/>
        </w:trPr>
        <w:tc>
          <w:tcPr>
            <w:tcW w:w="2348" w:type="dxa"/>
            <w:shd w:val="clear" w:color="auto" w:fill="FFFFFF"/>
          </w:tcPr>
          <w:p w14:paraId="421C574A" w14:textId="77777777" w:rsidR="006034DC" w:rsidRDefault="00551235">
            <w:pPr>
              <w:pStyle w:val="CETBodytext"/>
              <w:rPr>
                <w:szCs w:val="22"/>
              </w:rPr>
            </w:pPr>
            <w:r>
              <w:rPr>
                <w:rFonts w:cs="Arial"/>
                <w:szCs w:val="18"/>
                <w:lang w:val="en-GB"/>
              </w:rPr>
              <w:t xml:space="preserve">Specific gravity                             </w:t>
            </w:r>
          </w:p>
        </w:tc>
        <w:tc>
          <w:tcPr>
            <w:tcW w:w="2346" w:type="dxa"/>
            <w:shd w:val="clear" w:color="auto" w:fill="FFFFFF"/>
          </w:tcPr>
          <w:p w14:paraId="544D85F4" w14:textId="77777777" w:rsidR="006034DC" w:rsidRDefault="00551235">
            <w:pPr>
              <w:pStyle w:val="CETBodytext"/>
              <w:rPr>
                <w:lang w:val="en-GB"/>
              </w:rPr>
            </w:pPr>
            <w:r>
              <w:rPr>
                <w:lang w:val="en-GB"/>
              </w:rPr>
              <w:t xml:space="preserve">        0.85</w:t>
            </w:r>
          </w:p>
        </w:tc>
        <w:tc>
          <w:tcPr>
            <w:tcW w:w="2346" w:type="dxa"/>
            <w:shd w:val="clear" w:color="auto" w:fill="FFFFFF"/>
          </w:tcPr>
          <w:p w14:paraId="3D18B3D6" w14:textId="77777777" w:rsidR="006034DC" w:rsidRDefault="00551235">
            <w:pPr>
              <w:pStyle w:val="CETBodytext"/>
              <w:rPr>
                <w:lang w:val="en-GB"/>
              </w:rPr>
            </w:pPr>
            <w:r>
              <w:rPr>
                <w:lang w:val="en-GB"/>
              </w:rPr>
              <w:t>0.887</w:t>
            </w:r>
          </w:p>
        </w:tc>
        <w:tc>
          <w:tcPr>
            <w:tcW w:w="2346" w:type="dxa"/>
            <w:shd w:val="clear" w:color="auto" w:fill="FFFFFF"/>
          </w:tcPr>
          <w:p w14:paraId="77B7FC8B" w14:textId="77777777" w:rsidR="006034DC" w:rsidRDefault="00551235">
            <w:pPr>
              <w:pStyle w:val="CETBodytext"/>
              <w:ind w:right="-1"/>
              <w:rPr>
                <w:rFonts w:cs="Arial"/>
                <w:szCs w:val="18"/>
                <w:lang w:val="en-GB"/>
              </w:rPr>
            </w:pPr>
            <w:r>
              <w:rPr>
                <w:rFonts w:cs="Arial"/>
                <w:szCs w:val="18"/>
                <w:lang w:val="en-GB"/>
              </w:rPr>
              <w:t>0.849</w:t>
            </w:r>
          </w:p>
        </w:tc>
      </w:tr>
      <w:tr w:rsidR="006034DC" w14:paraId="0DB474B6" w14:textId="77777777">
        <w:trPr>
          <w:trHeight w:val="285"/>
        </w:trPr>
        <w:tc>
          <w:tcPr>
            <w:tcW w:w="2348" w:type="dxa"/>
            <w:shd w:val="clear" w:color="auto" w:fill="FFFFFF"/>
          </w:tcPr>
          <w:p w14:paraId="541A0865" w14:textId="77777777" w:rsidR="006034DC" w:rsidRDefault="00551235">
            <w:pPr>
              <w:pStyle w:val="CETBodytext"/>
              <w:rPr>
                <w:szCs w:val="22"/>
              </w:rPr>
            </w:pPr>
            <w:r>
              <w:rPr>
                <w:rFonts w:cs="Arial"/>
                <w:szCs w:val="18"/>
                <w:lang w:val="en-GB"/>
              </w:rPr>
              <w:t>Viscosity Index</w:t>
            </w:r>
          </w:p>
        </w:tc>
        <w:tc>
          <w:tcPr>
            <w:tcW w:w="2346" w:type="dxa"/>
            <w:shd w:val="clear" w:color="auto" w:fill="FFFFFF"/>
          </w:tcPr>
          <w:p w14:paraId="05C0EB5A" w14:textId="77777777" w:rsidR="006034DC" w:rsidRDefault="00551235">
            <w:pPr>
              <w:pStyle w:val="CETBodytext"/>
              <w:rPr>
                <w:lang w:val="en-GB"/>
              </w:rPr>
            </w:pPr>
            <w:r>
              <w:rPr>
                <w:lang w:val="en-GB"/>
              </w:rPr>
              <w:t xml:space="preserve">        183.60</w:t>
            </w:r>
          </w:p>
        </w:tc>
        <w:tc>
          <w:tcPr>
            <w:tcW w:w="2346" w:type="dxa"/>
            <w:shd w:val="clear" w:color="auto" w:fill="FFFFFF"/>
          </w:tcPr>
          <w:p w14:paraId="55119B4F" w14:textId="77777777" w:rsidR="006034DC" w:rsidRDefault="00551235">
            <w:pPr>
              <w:pStyle w:val="CETBodytext"/>
              <w:rPr>
                <w:lang w:val="en-GB"/>
              </w:rPr>
            </w:pPr>
            <w:r>
              <w:rPr>
                <w:lang w:val="en-GB"/>
              </w:rPr>
              <w:t>118.10</w:t>
            </w:r>
          </w:p>
        </w:tc>
        <w:tc>
          <w:tcPr>
            <w:tcW w:w="2346" w:type="dxa"/>
            <w:shd w:val="clear" w:color="auto" w:fill="FFFFFF"/>
          </w:tcPr>
          <w:p w14:paraId="1F8007B5" w14:textId="77777777" w:rsidR="006034DC" w:rsidRDefault="00551235">
            <w:pPr>
              <w:pStyle w:val="CETBodytext"/>
              <w:ind w:right="-1"/>
              <w:rPr>
                <w:rFonts w:cs="Arial"/>
                <w:szCs w:val="18"/>
                <w:lang w:val="en-GB"/>
              </w:rPr>
            </w:pPr>
            <w:r>
              <w:rPr>
                <w:rFonts w:cs="Arial"/>
                <w:szCs w:val="18"/>
                <w:lang w:val="en-GB"/>
              </w:rPr>
              <w:t>182.22</w:t>
            </w:r>
          </w:p>
        </w:tc>
      </w:tr>
      <w:tr w:rsidR="006034DC" w14:paraId="617AED8E" w14:textId="77777777">
        <w:trPr>
          <w:trHeight w:val="172"/>
        </w:trPr>
        <w:tc>
          <w:tcPr>
            <w:tcW w:w="2348" w:type="dxa"/>
            <w:shd w:val="clear" w:color="auto" w:fill="FFFFFF"/>
          </w:tcPr>
          <w:p w14:paraId="5EEE284E" w14:textId="77777777" w:rsidR="006034DC" w:rsidRDefault="00551235">
            <w:pPr>
              <w:pStyle w:val="CETBodytext"/>
              <w:rPr>
                <w:szCs w:val="22"/>
              </w:rPr>
            </w:pPr>
            <w:r>
              <w:rPr>
                <w:rFonts w:cs="Arial"/>
                <w:szCs w:val="18"/>
                <w:lang w:val="en-GB"/>
              </w:rPr>
              <w:t>Flashpoint (</w:t>
            </w:r>
            <w:r>
              <w:rPr>
                <w:rFonts w:ascii="Times New Roman" w:hAnsi="Times New Roman"/>
                <w:szCs w:val="18"/>
                <w:lang w:val="en-GB"/>
              </w:rPr>
              <w:t>℃</w:t>
            </w:r>
            <w:r>
              <w:rPr>
                <w:rFonts w:cs="Arial"/>
                <w:szCs w:val="18"/>
                <w:lang w:val="en-GB"/>
              </w:rPr>
              <w:t>)</w:t>
            </w:r>
          </w:p>
        </w:tc>
        <w:tc>
          <w:tcPr>
            <w:tcW w:w="2346" w:type="dxa"/>
            <w:shd w:val="clear" w:color="auto" w:fill="FFFFFF"/>
          </w:tcPr>
          <w:p w14:paraId="718D2F65" w14:textId="77777777" w:rsidR="006034DC" w:rsidRDefault="00551235">
            <w:pPr>
              <w:pStyle w:val="CETBodytext"/>
              <w:rPr>
                <w:lang w:val="en-GB"/>
              </w:rPr>
            </w:pPr>
            <w:r>
              <w:rPr>
                <w:lang w:val="en-GB"/>
              </w:rPr>
              <w:t xml:space="preserve">         240</w:t>
            </w:r>
          </w:p>
        </w:tc>
        <w:tc>
          <w:tcPr>
            <w:tcW w:w="2346" w:type="dxa"/>
            <w:shd w:val="clear" w:color="auto" w:fill="FFFFFF"/>
          </w:tcPr>
          <w:p w14:paraId="50602795" w14:textId="77777777" w:rsidR="006034DC" w:rsidRDefault="00551235">
            <w:pPr>
              <w:pStyle w:val="CETBodytext"/>
              <w:rPr>
                <w:lang w:val="en-GB"/>
              </w:rPr>
            </w:pPr>
            <w:r>
              <w:rPr>
                <w:lang w:val="en-GB"/>
              </w:rPr>
              <w:t>180</w:t>
            </w:r>
          </w:p>
        </w:tc>
        <w:tc>
          <w:tcPr>
            <w:tcW w:w="2346" w:type="dxa"/>
            <w:shd w:val="clear" w:color="auto" w:fill="FFFFFF"/>
          </w:tcPr>
          <w:p w14:paraId="13DB5C91" w14:textId="77777777" w:rsidR="006034DC" w:rsidRDefault="00551235">
            <w:pPr>
              <w:pStyle w:val="CETBodytext"/>
              <w:ind w:right="-1"/>
              <w:rPr>
                <w:rFonts w:cs="Arial"/>
                <w:szCs w:val="18"/>
                <w:lang w:val="en-GB"/>
              </w:rPr>
            </w:pPr>
            <w:r>
              <w:rPr>
                <w:rFonts w:cs="Arial"/>
                <w:szCs w:val="18"/>
                <w:lang w:val="en-GB"/>
              </w:rPr>
              <w:t>234</w:t>
            </w:r>
          </w:p>
        </w:tc>
      </w:tr>
      <w:tr w:rsidR="006034DC" w14:paraId="41443FE1" w14:textId="77777777">
        <w:trPr>
          <w:trHeight w:val="158"/>
        </w:trPr>
        <w:tc>
          <w:tcPr>
            <w:tcW w:w="2348" w:type="dxa"/>
            <w:shd w:val="clear" w:color="auto" w:fill="FFFFFF"/>
          </w:tcPr>
          <w:p w14:paraId="43F85A58" w14:textId="77777777" w:rsidR="006034DC" w:rsidRDefault="00551235">
            <w:pPr>
              <w:pStyle w:val="CETBodytext"/>
              <w:rPr>
                <w:szCs w:val="22"/>
              </w:rPr>
            </w:pPr>
            <w:r>
              <w:rPr>
                <w:rFonts w:cs="Arial"/>
                <w:szCs w:val="18"/>
                <w:lang w:val="en-GB"/>
              </w:rPr>
              <w:t>Pour point (</w:t>
            </w:r>
            <w:r>
              <w:rPr>
                <w:rFonts w:ascii="Times New Roman" w:hAnsi="Times New Roman"/>
                <w:szCs w:val="18"/>
                <w:lang w:val="en-GB"/>
              </w:rPr>
              <w:t>℃</w:t>
            </w:r>
            <w:r>
              <w:rPr>
                <w:rFonts w:cs="Arial"/>
                <w:szCs w:val="18"/>
                <w:lang w:val="en-GB"/>
              </w:rPr>
              <w:t>)</w:t>
            </w:r>
          </w:p>
        </w:tc>
        <w:tc>
          <w:tcPr>
            <w:tcW w:w="2346" w:type="dxa"/>
            <w:shd w:val="clear" w:color="auto" w:fill="FFFFFF"/>
          </w:tcPr>
          <w:p w14:paraId="29AEC22E" w14:textId="77777777" w:rsidR="006034DC" w:rsidRDefault="00551235">
            <w:pPr>
              <w:pStyle w:val="CETBodytext"/>
              <w:rPr>
                <w:lang w:val="en-GB"/>
              </w:rPr>
            </w:pPr>
            <w:r>
              <w:rPr>
                <w:lang w:val="en-GB"/>
              </w:rPr>
              <w:t xml:space="preserve">        -35</w:t>
            </w:r>
          </w:p>
        </w:tc>
        <w:tc>
          <w:tcPr>
            <w:tcW w:w="2346" w:type="dxa"/>
            <w:shd w:val="clear" w:color="auto" w:fill="FFFFFF"/>
          </w:tcPr>
          <w:p w14:paraId="305C1AE1" w14:textId="77777777" w:rsidR="006034DC" w:rsidRDefault="00551235">
            <w:pPr>
              <w:pStyle w:val="CETBodytext"/>
              <w:rPr>
                <w:lang w:val="en-GB"/>
              </w:rPr>
            </w:pPr>
            <w:r>
              <w:rPr>
                <w:lang w:val="en-GB"/>
              </w:rPr>
              <w:t>-27</w:t>
            </w:r>
          </w:p>
        </w:tc>
        <w:tc>
          <w:tcPr>
            <w:tcW w:w="2346" w:type="dxa"/>
            <w:shd w:val="clear" w:color="auto" w:fill="FFFFFF"/>
          </w:tcPr>
          <w:p w14:paraId="587FFE1B" w14:textId="77777777" w:rsidR="006034DC" w:rsidRDefault="00551235">
            <w:pPr>
              <w:pStyle w:val="CETBodytext"/>
              <w:ind w:right="-1"/>
              <w:rPr>
                <w:rFonts w:cs="Arial"/>
                <w:szCs w:val="18"/>
                <w:lang w:val="en-GB"/>
              </w:rPr>
            </w:pPr>
            <w:r>
              <w:rPr>
                <w:rFonts w:cs="Arial"/>
                <w:szCs w:val="18"/>
                <w:lang w:val="en-GB"/>
              </w:rPr>
              <w:t>-33</w:t>
            </w:r>
          </w:p>
        </w:tc>
      </w:tr>
      <w:tr w:rsidR="006034DC" w14:paraId="375F255D" w14:textId="77777777">
        <w:trPr>
          <w:trHeight w:val="399"/>
        </w:trPr>
        <w:tc>
          <w:tcPr>
            <w:tcW w:w="2348" w:type="dxa"/>
            <w:shd w:val="clear" w:color="auto" w:fill="FFFFFF"/>
          </w:tcPr>
          <w:p w14:paraId="72536E0E" w14:textId="77777777" w:rsidR="006034DC" w:rsidRDefault="00551235">
            <w:pPr>
              <w:pStyle w:val="CETBodytext"/>
              <w:ind w:right="-1"/>
              <w:rPr>
                <w:rFonts w:cs="Arial"/>
                <w:szCs w:val="18"/>
                <w:lang w:val="en-GB"/>
              </w:rPr>
            </w:pPr>
            <w:r>
              <w:rPr>
                <w:rFonts w:cs="Arial"/>
                <w:szCs w:val="18"/>
                <w:lang w:val="en-GB"/>
              </w:rPr>
              <w:t xml:space="preserve">Total Acid Number (TAN) </w:t>
            </w:r>
          </w:p>
          <w:p w14:paraId="05B20EB1" w14:textId="77777777" w:rsidR="006034DC" w:rsidRDefault="00551235">
            <w:pPr>
              <w:pStyle w:val="CETBodytext"/>
              <w:rPr>
                <w:szCs w:val="22"/>
              </w:rPr>
            </w:pPr>
            <w:r>
              <w:rPr>
                <w:rFonts w:cs="Arial"/>
                <w:szCs w:val="18"/>
                <w:lang w:val="en-GB"/>
              </w:rPr>
              <w:t>mg of KOH /g of oil</w:t>
            </w:r>
          </w:p>
        </w:tc>
        <w:tc>
          <w:tcPr>
            <w:tcW w:w="2346" w:type="dxa"/>
            <w:shd w:val="clear" w:color="auto" w:fill="FFFFFF"/>
          </w:tcPr>
          <w:p w14:paraId="1AEA5CAB" w14:textId="77777777" w:rsidR="006034DC" w:rsidRDefault="00551235">
            <w:pPr>
              <w:pStyle w:val="CETBodytext"/>
              <w:rPr>
                <w:lang w:val="en-GB"/>
              </w:rPr>
            </w:pPr>
            <w:r>
              <w:rPr>
                <w:lang w:val="en-GB"/>
              </w:rPr>
              <w:t xml:space="preserve">        --</w:t>
            </w:r>
          </w:p>
        </w:tc>
        <w:tc>
          <w:tcPr>
            <w:tcW w:w="2346" w:type="dxa"/>
            <w:shd w:val="clear" w:color="auto" w:fill="FFFFFF"/>
          </w:tcPr>
          <w:p w14:paraId="2BF1C0B9" w14:textId="77777777" w:rsidR="006034DC" w:rsidRDefault="00551235">
            <w:pPr>
              <w:pStyle w:val="CETBodytext"/>
              <w:rPr>
                <w:lang w:val="en-GB"/>
              </w:rPr>
            </w:pPr>
            <w:r>
              <w:rPr>
                <w:lang w:val="en-GB"/>
              </w:rPr>
              <w:t>2</w:t>
            </w:r>
          </w:p>
        </w:tc>
        <w:tc>
          <w:tcPr>
            <w:tcW w:w="2346" w:type="dxa"/>
            <w:shd w:val="clear" w:color="auto" w:fill="FFFFFF"/>
          </w:tcPr>
          <w:p w14:paraId="747B4050" w14:textId="77777777" w:rsidR="006034DC" w:rsidRDefault="00551235">
            <w:pPr>
              <w:pStyle w:val="CETBodytext"/>
              <w:ind w:right="-1"/>
              <w:rPr>
                <w:rFonts w:cs="Arial"/>
                <w:szCs w:val="18"/>
                <w:lang w:val="en-GB"/>
              </w:rPr>
            </w:pPr>
            <w:r>
              <w:rPr>
                <w:rFonts w:cs="Arial"/>
                <w:szCs w:val="18"/>
                <w:lang w:val="en-GB"/>
              </w:rPr>
              <w:t>0.33</w:t>
            </w:r>
          </w:p>
        </w:tc>
      </w:tr>
      <w:tr w:rsidR="006034DC" w14:paraId="42503DCE" w14:textId="77777777">
        <w:trPr>
          <w:trHeight w:val="187"/>
        </w:trPr>
        <w:tc>
          <w:tcPr>
            <w:tcW w:w="2348" w:type="dxa"/>
            <w:shd w:val="clear" w:color="auto" w:fill="FFFFFF"/>
          </w:tcPr>
          <w:p w14:paraId="582934A1" w14:textId="77777777" w:rsidR="006034DC" w:rsidRDefault="00551235">
            <w:pPr>
              <w:pStyle w:val="CETBodytext"/>
              <w:rPr>
                <w:szCs w:val="22"/>
              </w:rPr>
            </w:pPr>
            <w:r>
              <w:rPr>
                <w:rFonts w:cs="Arial"/>
                <w:szCs w:val="18"/>
                <w:lang w:val="en-GB"/>
              </w:rPr>
              <w:t>Ash Content (ppm)</w:t>
            </w:r>
          </w:p>
        </w:tc>
        <w:tc>
          <w:tcPr>
            <w:tcW w:w="2346" w:type="dxa"/>
            <w:shd w:val="clear" w:color="auto" w:fill="FFFFFF"/>
          </w:tcPr>
          <w:p w14:paraId="3FD4E825" w14:textId="77777777" w:rsidR="006034DC" w:rsidRDefault="00551235">
            <w:pPr>
              <w:pStyle w:val="CETBodytext"/>
              <w:rPr>
                <w:lang w:val="en-GB"/>
              </w:rPr>
            </w:pPr>
            <w:r>
              <w:rPr>
                <w:lang w:val="en-GB"/>
              </w:rPr>
              <w:t xml:space="preserve">        0.3</w:t>
            </w:r>
          </w:p>
        </w:tc>
        <w:tc>
          <w:tcPr>
            <w:tcW w:w="2346" w:type="dxa"/>
            <w:shd w:val="clear" w:color="auto" w:fill="FFFFFF"/>
          </w:tcPr>
          <w:p w14:paraId="65DA9D3E" w14:textId="77777777" w:rsidR="006034DC" w:rsidRDefault="00551235">
            <w:pPr>
              <w:pStyle w:val="CETBodytext"/>
              <w:rPr>
                <w:lang w:val="en-GB"/>
              </w:rPr>
            </w:pPr>
            <w:r>
              <w:rPr>
                <w:lang w:val="en-GB"/>
              </w:rPr>
              <w:t>2</w:t>
            </w:r>
          </w:p>
        </w:tc>
        <w:tc>
          <w:tcPr>
            <w:tcW w:w="2346" w:type="dxa"/>
            <w:shd w:val="clear" w:color="auto" w:fill="FFFFFF"/>
          </w:tcPr>
          <w:p w14:paraId="0ECF5082" w14:textId="77777777" w:rsidR="006034DC" w:rsidRDefault="00551235">
            <w:pPr>
              <w:pStyle w:val="CETBodytext"/>
              <w:ind w:right="-1"/>
              <w:rPr>
                <w:rFonts w:cs="Arial"/>
                <w:szCs w:val="18"/>
                <w:lang w:val="en-GB"/>
              </w:rPr>
            </w:pPr>
            <w:r>
              <w:rPr>
                <w:rFonts w:cs="Arial"/>
                <w:szCs w:val="18"/>
                <w:lang w:val="en-GB"/>
              </w:rPr>
              <w:t>0.26</w:t>
            </w:r>
          </w:p>
        </w:tc>
      </w:tr>
      <w:tr w:rsidR="006034DC" w14:paraId="1D3F0EC5" w14:textId="77777777">
        <w:trPr>
          <w:trHeight w:val="257"/>
        </w:trPr>
        <w:tc>
          <w:tcPr>
            <w:tcW w:w="2348" w:type="dxa"/>
            <w:shd w:val="clear" w:color="auto" w:fill="FFFFFF"/>
          </w:tcPr>
          <w:p w14:paraId="1B5FD29E" w14:textId="77777777" w:rsidR="006034DC" w:rsidRDefault="00551235">
            <w:pPr>
              <w:pStyle w:val="CETBodytext"/>
              <w:rPr>
                <w:szCs w:val="22"/>
              </w:rPr>
            </w:pPr>
            <w:r>
              <w:rPr>
                <w:szCs w:val="22"/>
              </w:rPr>
              <w:t>Zn</w:t>
            </w:r>
          </w:p>
        </w:tc>
        <w:tc>
          <w:tcPr>
            <w:tcW w:w="2346" w:type="dxa"/>
            <w:shd w:val="clear" w:color="auto" w:fill="FFFFFF"/>
          </w:tcPr>
          <w:p w14:paraId="461FB584" w14:textId="77777777" w:rsidR="006034DC" w:rsidRDefault="006034DC">
            <w:pPr>
              <w:pStyle w:val="CETBodytext"/>
              <w:rPr>
                <w:lang w:val="en-GB"/>
              </w:rPr>
            </w:pPr>
          </w:p>
        </w:tc>
        <w:tc>
          <w:tcPr>
            <w:tcW w:w="2346" w:type="dxa"/>
            <w:shd w:val="clear" w:color="auto" w:fill="FFFFFF"/>
          </w:tcPr>
          <w:p w14:paraId="498352AF" w14:textId="77777777" w:rsidR="006034DC" w:rsidRDefault="00551235">
            <w:pPr>
              <w:pStyle w:val="CETBodytext"/>
              <w:rPr>
                <w:lang w:val="en-GB"/>
              </w:rPr>
            </w:pPr>
            <w:r>
              <w:rPr>
                <w:lang w:val="en-GB"/>
              </w:rPr>
              <w:t>912</w:t>
            </w:r>
          </w:p>
        </w:tc>
        <w:tc>
          <w:tcPr>
            <w:tcW w:w="2346" w:type="dxa"/>
            <w:shd w:val="clear" w:color="auto" w:fill="FFFFFF"/>
          </w:tcPr>
          <w:p w14:paraId="4E07D339" w14:textId="77777777" w:rsidR="006034DC" w:rsidRDefault="00551235">
            <w:pPr>
              <w:pStyle w:val="CETBodytext"/>
              <w:ind w:right="-1"/>
              <w:rPr>
                <w:rFonts w:cs="Arial"/>
                <w:szCs w:val="18"/>
                <w:lang w:val="en-GB"/>
              </w:rPr>
            </w:pPr>
            <w:r>
              <w:rPr>
                <w:rFonts w:cs="Arial"/>
                <w:szCs w:val="18"/>
                <w:lang w:val="en-GB"/>
              </w:rPr>
              <w:t>325</w:t>
            </w:r>
          </w:p>
        </w:tc>
      </w:tr>
      <w:tr w:rsidR="006034DC" w14:paraId="4B89B297" w14:textId="77777777">
        <w:trPr>
          <w:trHeight w:val="94"/>
        </w:trPr>
        <w:tc>
          <w:tcPr>
            <w:tcW w:w="2348" w:type="dxa"/>
            <w:shd w:val="clear" w:color="auto" w:fill="FFFFFF"/>
          </w:tcPr>
          <w:p w14:paraId="172665F9" w14:textId="77777777" w:rsidR="006034DC" w:rsidRDefault="00551235">
            <w:pPr>
              <w:pStyle w:val="CETBodytext"/>
              <w:rPr>
                <w:szCs w:val="22"/>
              </w:rPr>
            </w:pPr>
            <w:r>
              <w:rPr>
                <w:szCs w:val="22"/>
              </w:rPr>
              <w:t>Mn</w:t>
            </w:r>
          </w:p>
        </w:tc>
        <w:tc>
          <w:tcPr>
            <w:tcW w:w="2346" w:type="dxa"/>
            <w:shd w:val="clear" w:color="auto" w:fill="FFFFFF"/>
          </w:tcPr>
          <w:p w14:paraId="3722C318" w14:textId="77777777" w:rsidR="006034DC" w:rsidRDefault="006034DC">
            <w:pPr>
              <w:pStyle w:val="CETBodytext"/>
              <w:rPr>
                <w:lang w:val="en-GB"/>
              </w:rPr>
            </w:pPr>
          </w:p>
        </w:tc>
        <w:tc>
          <w:tcPr>
            <w:tcW w:w="2346" w:type="dxa"/>
            <w:shd w:val="clear" w:color="auto" w:fill="FFFFFF"/>
          </w:tcPr>
          <w:p w14:paraId="4BA34E0E" w14:textId="77777777" w:rsidR="006034DC" w:rsidRDefault="00551235">
            <w:pPr>
              <w:pStyle w:val="CETBodytext"/>
              <w:rPr>
                <w:lang w:val="en-GB"/>
              </w:rPr>
            </w:pPr>
            <w:r>
              <w:rPr>
                <w:lang w:val="en-GB"/>
              </w:rPr>
              <w:t>832</w:t>
            </w:r>
          </w:p>
        </w:tc>
        <w:tc>
          <w:tcPr>
            <w:tcW w:w="2346" w:type="dxa"/>
            <w:shd w:val="clear" w:color="auto" w:fill="FFFFFF"/>
          </w:tcPr>
          <w:p w14:paraId="52F63CDC" w14:textId="77777777" w:rsidR="006034DC" w:rsidRDefault="00551235">
            <w:pPr>
              <w:pStyle w:val="CETBodytext"/>
              <w:ind w:right="-1"/>
              <w:rPr>
                <w:rFonts w:cs="Arial"/>
                <w:szCs w:val="18"/>
                <w:lang w:val="en-GB"/>
              </w:rPr>
            </w:pPr>
            <w:r>
              <w:rPr>
                <w:rFonts w:cs="Arial"/>
                <w:szCs w:val="18"/>
                <w:lang w:val="en-GB"/>
              </w:rPr>
              <w:t>459</w:t>
            </w:r>
          </w:p>
        </w:tc>
      </w:tr>
    </w:tbl>
    <w:p w14:paraId="7C952F8E" w14:textId="77777777" w:rsidR="006034DC" w:rsidRDefault="00551235">
      <w:pPr>
        <w:pStyle w:val="CETHeading1"/>
      </w:pPr>
      <w:r>
        <w:lastRenderedPageBreak/>
        <w:t>Conclusion</w:t>
      </w:r>
    </w:p>
    <w:p w14:paraId="024E5F96" w14:textId="33CD4F82" w:rsidR="006034DC" w:rsidRDefault="00551235">
      <w:pPr>
        <w:pStyle w:val="CETBodytext"/>
      </w:pPr>
      <w:r>
        <w:t>The present study focused on synthesis of bio-flocculant (sodium alginate) from brown algae (</w:t>
      </w:r>
      <w:r>
        <w:rPr>
          <w:i/>
        </w:rPr>
        <w:t xml:space="preserve">Sargassum Muticum) </w:t>
      </w:r>
      <w:r>
        <w:t xml:space="preserve">followed by optimising process parameters by the Taguchi approach for re-refining of waste lubricating oil. There exhibits a considerable improvement of flocculation efficiency while treated with </w:t>
      </w:r>
      <w:r w:rsidR="007134FE">
        <w:t>synthesized</w:t>
      </w:r>
      <w:r>
        <w:t xml:space="preserve"> biopolymer flocculant compared to inorganic flocculant, which is reflected in the improvement of % recovery of re-</w:t>
      </w:r>
      <w:r>
        <w:rPr>
          <w:rFonts w:cs="Arial"/>
          <w:szCs w:val="18"/>
        </w:rPr>
        <w:t xml:space="preserve">refined oil (by 5 % improvement) and its quality parameters after treatment (in enhancement in flash point, kinematic viscosity @40 </w:t>
      </w:r>
      <w:r>
        <w:rPr>
          <w:rFonts w:ascii="Cambria Math" w:hAnsi="Cambria Math" w:cs="Cambria Math"/>
          <w:szCs w:val="18"/>
        </w:rPr>
        <w:t>℃</w:t>
      </w:r>
      <w:r>
        <w:rPr>
          <w:rFonts w:cs="Arial"/>
          <w:szCs w:val="18"/>
        </w:rPr>
        <w:t xml:space="preserve">, reduction of total acid number </w:t>
      </w:r>
      <w:r>
        <w:rPr>
          <w:rFonts w:cs="Arial"/>
        </w:rPr>
        <w:t>etc.).</w:t>
      </w:r>
      <w:r>
        <w:t xml:space="preserve"> The result obtained from the study revealed that the reaction temperature affects the re-refining process significantly compared to other chosen parameters, with a contributing factor of 98.11 %, followed by flocculant doses of 1.09 % and solvent-to-oil ratio of 0.78 %. The optimum condition obtained from re-refining of waste lubricating oil are:  reaction temperature of 80</w:t>
      </w:r>
      <w:r>
        <w:rPr>
          <w:rFonts w:ascii="Cambria Math" w:hAnsi="Cambria Math" w:cs="Cambria Math"/>
        </w:rPr>
        <w:t>℃</w:t>
      </w:r>
      <w:r>
        <w:t>, reaction time of 60 minutes, solvent-to-oil ratio of 3:1 g/g and bio-polymeric flocculant (developed sodium alginate) concentration of 1g/kg of solvent to achieve maximum yield of re-refined base oil conversion as 91.31 %. The statistical analysis from the ANOVA study demonstrates that the model can competently optimise the process with accurate prediction.</w:t>
      </w:r>
      <w:r w:rsidR="009F34DD">
        <w:t xml:space="preserve"> </w:t>
      </w:r>
      <w:r>
        <w:t>Thus, the Taguchi method's L9 orthogonal array approach effectively optimises and identifies the significant operational parameters of waste lubricating oil recycling. Moreover, the fuel characteristics of re-refined lubricating base oil are comparable to the virgin base oil. Thus, the regenerated base oil may be used commercially as a good lubricant after adding the required quantum of additives for a specific function.</w:t>
      </w:r>
    </w:p>
    <w:p w14:paraId="13B5C0DB" w14:textId="77777777" w:rsidR="006034DC" w:rsidRDefault="00551235">
      <w:pPr>
        <w:pStyle w:val="CETHeading1"/>
        <w:numPr>
          <w:ilvl w:val="0"/>
          <w:numId w:val="0"/>
        </w:numPr>
      </w:pPr>
      <w:r>
        <w:t>References</w:t>
      </w:r>
    </w:p>
    <w:p w14:paraId="3EB4505A" w14:textId="77777777" w:rsidR="006034DC" w:rsidRDefault="00551235">
      <w:pPr>
        <w:pStyle w:val="CETReferencetext"/>
      </w:pPr>
      <w:r>
        <w:t>Abu Elella R., Ossman M.E., Farouq R., Abd Elfatah M., 2015, Used motor oil treatment: turning waste oil                                                      into valuable products, Int. J. C</w:t>
      </w:r>
      <w:r w:rsidR="007134FE">
        <w:t xml:space="preserve">hem. Biochem. Sci, 7, </w:t>
      </w:r>
      <w:r>
        <w:t>57-67.</w:t>
      </w:r>
    </w:p>
    <w:p w14:paraId="267B5F6B" w14:textId="77777777" w:rsidR="006034DC" w:rsidRDefault="00551235">
      <w:pPr>
        <w:pStyle w:val="CETReferencetext"/>
      </w:pPr>
      <w:r>
        <w:t>Bertagnolli C., Espindola A.P.D., Kleinübing S.J., Tasic L., Da Silva M.G.C., 2014, Sargassum filipendula alginate from Brazil: Seasonal influence and characteristics, Carbohydrate polymers, 111, 619-623.</w:t>
      </w:r>
    </w:p>
    <w:p w14:paraId="660853BA" w14:textId="77777777" w:rsidR="006034DC" w:rsidRDefault="00551235">
      <w:pPr>
        <w:pStyle w:val="CETReferencetext"/>
      </w:pPr>
      <w:r>
        <w:t>Botas J.A., Moreno J., Espada J.J., Serrano D.P., Dufour J., 2017, Recycling of used lubricating oil: Evaluation of environmental and energy performance by LCA, Resources Conservation and Recycling, 125, 315-323.</w:t>
      </w:r>
    </w:p>
    <w:p w14:paraId="6880E7D3" w14:textId="77777777" w:rsidR="006034DC" w:rsidRDefault="00551235">
      <w:pPr>
        <w:pStyle w:val="CETReferencetext"/>
      </w:pPr>
      <w:r>
        <w:t>Chen X., Si C., Fatehi P., 2018, Cationic xylan-(2-methacryloyloxyethyl trimethyl ammonium chloride) polymer as a flocculant for pulping wastewater, Carbohydrate polymers, 186, 358-366</w:t>
      </w:r>
    </w:p>
    <w:p w14:paraId="344A8104" w14:textId="77777777" w:rsidR="006034DC" w:rsidRDefault="00551235">
      <w:pPr>
        <w:pStyle w:val="CETReferencetext"/>
      </w:pPr>
      <w:r>
        <w:t>Dhawane S.H., Karmakar B., Ghosh S., Halder G., 2018, Parametric optimisation of biodiesel synthesis from waste cooking oil via Taguchi approach, Journal of environmental chemical engineering, 6(4), 3971-3980.</w:t>
      </w:r>
    </w:p>
    <w:p w14:paraId="2944377E" w14:textId="77777777" w:rsidR="006034DC" w:rsidRDefault="00551235">
      <w:pPr>
        <w:pStyle w:val="CETReferencetext"/>
      </w:pPr>
      <w:r>
        <w:t>Jayasinghe G.D.T.M., Jinadasa B.K.K.K., Sadaruwan N.A.G., 2022, Pathway of sodium alginate synthesis from marine brown algae, Sargassum wightii from Sri Lanka, Discover Food, 2, 1-7.</w:t>
      </w:r>
    </w:p>
    <w:p w14:paraId="3911A9BA" w14:textId="77777777" w:rsidR="006034DC" w:rsidRDefault="00551235">
      <w:pPr>
        <w:pStyle w:val="CETReferencetext"/>
      </w:pPr>
      <w:r>
        <w:t>Khalaf I.H., Al-Sudani F.T., AbdulRazak A.A., Aldahri T., Rohani S., 2021, Optimization of Congo red dye adsorption from wastewater by a modified commercial zeolite catalyst using response surface modelling approach, Water Science and Technology, 83(6), 1369-1383.</w:t>
      </w:r>
    </w:p>
    <w:p w14:paraId="75A90CF3" w14:textId="77777777" w:rsidR="006034DC" w:rsidRDefault="00551235">
      <w:pPr>
        <w:pStyle w:val="CETReferencetext"/>
      </w:pPr>
      <w:r>
        <w:t>Kupareva A., Mäki Arvela P., Murzin D.Y., 2013, Technology for re-refining used lube oils applied in Europe: a review, Journal of Chemical Technology &amp; Biotechnology, 88(10), 1780-1793.</w:t>
      </w:r>
    </w:p>
    <w:p w14:paraId="7162B1F2" w14:textId="77777777" w:rsidR="006034DC" w:rsidRDefault="00551235">
      <w:pPr>
        <w:pStyle w:val="CETReferencetext"/>
      </w:pPr>
      <w:r>
        <w:t>Mahmoud M.S., Mohamed S.A., 2017, Calcium alginate as an eco-friendly supporting material for Baker’s yeast strain in chromium bioremediation, HBRC journal, 13(3), 245-254.</w:t>
      </w:r>
    </w:p>
    <w:p w14:paraId="725191DD" w14:textId="77777777" w:rsidR="006034DC" w:rsidRDefault="00551235">
      <w:pPr>
        <w:pStyle w:val="CETReferencetext"/>
      </w:pPr>
      <w:r>
        <w:t>Mensah-Brown H., 2015, Re-refining and recycling of used lubricating oil: An option for foreign exchange and natural resource conservation in Ghana, ARPN Journal of Engineering and Applied Sciences, 10(2), 797-801.</w:t>
      </w:r>
    </w:p>
    <w:p w14:paraId="3E55BC5A" w14:textId="77777777" w:rsidR="006034DC" w:rsidRDefault="00551235">
      <w:pPr>
        <w:pStyle w:val="CETReferencetext"/>
      </w:pPr>
      <w:r>
        <w:t>Mohammed R.R., Ibrahim I.A., Taha A.H., McKay G., 2013, Waste lubricating oil treatment by extraction and adsorption, Chemical Engineering Journal, 220, 343-351.</w:t>
      </w:r>
    </w:p>
    <w:p w14:paraId="7A27A647" w14:textId="77777777" w:rsidR="006034DC" w:rsidRDefault="00551235">
      <w:pPr>
        <w:pStyle w:val="CETReferencetext"/>
      </w:pPr>
      <w:r>
        <w:t>Osman D.I., Attia S.K., Taman A.R., 2018, Recycling of used engine oil by different solvent, Egyptian Journal of Petroleum, 27(2), 221-225.</w:t>
      </w:r>
    </w:p>
    <w:p w14:paraId="5E22ECF9" w14:textId="77777777" w:rsidR="006034DC" w:rsidRDefault="00551235">
      <w:pPr>
        <w:pStyle w:val="CETReferencetext"/>
      </w:pPr>
      <w:r>
        <w:t>Renault F., Sancey B., Badot P.M., Crini G., 2009, Chitosan for coagulation/flocculation processes–an eco-friendly approach, European Polymer Journal, 45(5), 1337-1348.</w:t>
      </w:r>
    </w:p>
    <w:p w14:paraId="7CE9FDF8" w14:textId="77777777" w:rsidR="006034DC" w:rsidRDefault="00551235">
      <w:pPr>
        <w:pStyle w:val="CETReferencetext"/>
      </w:pPr>
      <w:r>
        <w:t>Saji S., Hebden A., Goswami P. and Du C., 2022, A brief review on the development of alginate extraction process and its sustainability, Sustainability, 14(9), 5181.</w:t>
      </w:r>
    </w:p>
    <w:p w14:paraId="37C11A6A" w14:textId="77777777" w:rsidR="006034DC" w:rsidRDefault="00551235">
      <w:pPr>
        <w:pStyle w:val="CETReferencetext"/>
        <w:rPr>
          <w:rFonts w:cs="Arial"/>
        </w:rPr>
      </w:pPr>
      <w:r>
        <w:t>Sarkar S., Datta D. and Das B., 2022, Advance recovery approach for efficient recovery of waste lubricating oil by different material formulation, Materials Today: Proceedings, 49, 1891-1898</w:t>
      </w:r>
    </w:p>
    <w:p w14:paraId="061F3026" w14:textId="77777777" w:rsidR="006034DC" w:rsidRDefault="006034DC"/>
    <w:p w14:paraId="7586DAE6" w14:textId="77777777" w:rsidR="006034DC" w:rsidRDefault="006034DC">
      <w:pPr>
        <w:pStyle w:val="CETBodytext"/>
      </w:pPr>
    </w:p>
    <w:sectPr w:rsidR="006034DC" w:rsidSect="00656BC5">
      <w:type w:val="continuous"/>
      <w:pgSz w:w="11906" w:h="16838"/>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C2407" w14:textId="77777777" w:rsidR="00796AC6" w:rsidRDefault="00796AC6">
      <w:pPr>
        <w:spacing w:line="240" w:lineRule="auto"/>
      </w:pPr>
      <w:r>
        <w:separator/>
      </w:r>
    </w:p>
  </w:endnote>
  <w:endnote w:type="continuationSeparator" w:id="0">
    <w:p w14:paraId="684381E3" w14:textId="77777777" w:rsidR="00796AC6" w:rsidRDefault="00796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4D"/>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9ADCA" w14:textId="77777777" w:rsidR="00796AC6" w:rsidRDefault="00796AC6">
      <w:r>
        <w:separator/>
      </w:r>
    </w:p>
  </w:footnote>
  <w:footnote w:type="continuationSeparator" w:id="0">
    <w:p w14:paraId="6CB5B8F6" w14:textId="77777777" w:rsidR="00796AC6" w:rsidRDefault="00796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51E0394"/>
    <w:multiLevelType w:val="multilevel"/>
    <w:tmpl w:val="351E0394"/>
    <w:lvl w:ilvl="0">
      <w:start w:val="1"/>
      <w:numFmt w:val="bullet"/>
      <w:pStyle w:val="CETnumberingbullets"/>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311D0"/>
    <w:multiLevelType w:val="multilevel"/>
    <w:tmpl w:val="5AD311D0"/>
    <w:lvl w:ilvl="0">
      <w:start w:val="1"/>
      <w:numFmt w:val="decimal"/>
      <w:pStyle w:val="CETnumber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65266D"/>
    <w:multiLevelType w:val="multilevel"/>
    <w:tmpl w:val="6865266D"/>
    <w:lvl w:ilvl="0">
      <w:start w:val="1"/>
      <w:numFmt w:val="lowerLetter"/>
      <w:pStyle w:val="CETnumberinga"/>
      <w:lvlText w:val="%1."/>
      <w:lvlJc w:val="left"/>
      <w:pPr>
        <w:ind w:left="340" w:hanging="22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7A66"/>
    <w:rsid w:val="0003148D"/>
    <w:rsid w:val="00031EEC"/>
    <w:rsid w:val="00050ED5"/>
    <w:rsid w:val="00051566"/>
    <w:rsid w:val="000562A9"/>
    <w:rsid w:val="00062A9A"/>
    <w:rsid w:val="00064226"/>
    <w:rsid w:val="00065058"/>
    <w:rsid w:val="00086C39"/>
    <w:rsid w:val="000A03B2"/>
    <w:rsid w:val="000A0FE8"/>
    <w:rsid w:val="000A72C6"/>
    <w:rsid w:val="000D0268"/>
    <w:rsid w:val="000D34BE"/>
    <w:rsid w:val="000E102F"/>
    <w:rsid w:val="000E36F1"/>
    <w:rsid w:val="000E3A73"/>
    <w:rsid w:val="000E414A"/>
    <w:rsid w:val="000F093C"/>
    <w:rsid w:val="000F787B"/>
    <w:rsid w:val="001116BB"/>
    <w:rsid w:val="0012091F"/>
    <w:rsid w:val="00126BC2"/>
    <w:rsid w:val="001308B6"/>
    <w:rsid w:val="0013121F"/>
    <w:rsid w:val="00131FE6"/>
    <w:rsid w:val="0013263F"/>
    <w:rsid w:val="001331DF"/>
    <w:rsid w:val="00134DE4"/>
    <w:rsid w:val="0014034D"/>
    <w:rsid w:val="00144D16"/>
    <w:rsid w:val="001477F2"/>
    <w:rsid w:val="00150E59"/>
    <w:rsid w:val="00152DE3"/>
    <w:rsid w:val="001622F9"/>
    <w:rsid w:val="00164CF9"/>
    <w:rsid w:val="001667A6"/>
    <w:rsid w:val="00184AD6"/>
    <w:rsid w:val="001A4AF7"/>
    <w:rsid w:val="001B0349"/>
    <w:rsid w:val="001B1E93"/>
    <w:rsid w:val="001B4E01"/>
    <w:rsid w:val="001B65C1"/>
    <w:rsid w:val="001C17BF"/>
    <w:rsid w:val="001C684B"/>
    <w:rsid w:val="001D0CFB"/>
    <w:rsid w:val="001D21AF"/>
    <w:rsid w:val="001D53FC"/>
    <w:rsid w:val="001E2C4A"/>
    <w:rsid w:val="001E5860"/>
    <w:rsid w:val="001F42A5"/>
    <w:rsid w:val="001F7B9D"/>
    <w:rsid w:val="00201C93"/>
    <w:rsid w:val="002124F5"/>
    <w:rsid w:val="002224B4"/>
    <w:rsid w:val="002447EF"/>
    <w:rsid w:val="00251550"/>
    <w:rsid w:val="00255FF3"/>
    <w:rsid w:val="00263B05"/>
    <w:rsid w:val="0027221A"/>
    <w:rsid w:val="00275B61"/>
    <w:rsid w:val="00280FAF"/>
    <w:rsid w:val="00282656"/>
    <w:rsid w:val="002844D8"/>
    <w:rsid w:val="00296B83"/>
    <w:rsid w:val="002B04F6"/>
    <w:rsid w:val="002B4015"/>
    <w:rsid w:val="002B78CE"/>
    <w:rsid w:val="002C2FB6"/>
    <w:rsid w:val="002D0714"/>
    <w:rsid w:val="002D53E4"/>
    <w:rsid w:val="002E5FA7"/>
    <w:rsid w:val="002F3309"/>
    <w:rsid w:val="003008CE"/>
    <w:rsid w:val="003009B7"/>
    <w:rsid w:val="00300E56"/>
    <w:rsid w:val="0030152C"/>
    <w:rsid w:val="0030469C"/>
    <w:rsid w:val="00321CA6"/>
    <w:rsid w:val="00323763"/>
    <w:rsid w:val="00323C5F"/>
    <w:rsid w:val="003254E1"/>
    <w:rsid w:val="00326452"/>
    <w:rsid w:val="00334C09"/>
    <w:rsid w:val="00351D55"/>
    <w:rsid w:val="003723D4"/>
    <w:rsid w:val="00381905"/>
    <w:rsid w:val="00384CC8"/>
    <w:rsid w:val="003871FD"/>
    <w:rsid w:val="003A1E30"/>
    <w:rsid w:val="003A2829"/>
    <w:rsid w:val="003A7D1C"/>
    <w:rsid w:val="003B304B"/>
    <w:rsid w:val="003B3146"/>
    <w:rsid w:val="003C6A64"/>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11D8"/>
    <w:rsid w:val="004752A9"/>
    <w:rsid w:val="004760DE"/>
    <w:rsid w:val="004763D7"/>
    <w:rsid w:val="00487302"/>
    <w:rsid w:val="004A004E"/>
    <w:rsid w:val="004A24CF"/>
    <w:rsid w:val="004A4C01"/>
    <w:rsid w:val="004C3D1D"/>
    <w:rsid w:val="004C3D84"/>
    <w:rsid w:val="004C7913"/>
    <w:rsid w:val="004D55A0"/>
    <w:rsid w:val="004E4DD6"/>
    <w:rsid w:val="004F5E36"/>
    <w:rsid w:val="00507B47"/>
    <w:rsid w:val="00507BEF"/>
    <w:rsid w:val="00507CC9"/>
    <w:rsid w:val="005119A5"/>
    <w:rsid w:val="00514916"/>
    <w:rsid w:val="00514BBB"/>
    <w:rsid w:val="005278B7"/>
    <w:rsid w:val="00532016"/>
    <w:rsid w:val="005346C8"/>
    <w:rsid w:val="00543E7D"/>
    <w:rsid w:val="00547A68"/>
    <w:rsid w:val="00551235"/>
    <w:rsid w:val="005531C9"/>
    <w:rsid w:val="0056749B"/>
    <w:rsid w:val="00570C43"/>
    <w:rsid w:val="0058019B"/>
    <w:rsid w:val="00585C0C"/>
    <w:rsid w:val="005A44A6"/>
    <w:rsid w:val="005B2110"/>
    <w:rsid w:val="005B61E6"/>
    <w:rsid w:val="005C1F2B"/>
    <w:rsid w:val="005C77E1"/>
    <w:rsid w:val="005D668A"/>
    <w:rsid w:val="005D6A2F"/>
    <w:rsid w:val="005E091B"/>
    <w:rsid w:val="005E1A82"/>
    <w:rsid w:val="005E794C"/>
    <w:rsid w:val="005F0A28"/>
    <w:rsid w:val="005F0E5E"/>
    <w:rsid w:val="00600535"/>
    <w:rsid w:val="006034DC"/>
    <w:rsid w:val="00610CD6"/>
    <w:rsid w:val="00620DEE"/>
    <w:rsid w:val="00621F92"/>
    <w:rsid w:val="0062280A"/>
    <w:rsid w:val="00625639"/>
    <w:rsid w:val="00631B33"/>
    <w:rsid w:val="0064184D"/>
    <w:rsid w:val="006422CC"/>
    <w:rsid w:val="00656BC5"/>
    <w:rsid w:val="00660E3E"/>
    <w:rsid w:val="00662E74"/>
    <w:rsid w:val="00675376"/>
    <w:rsid w:val="00680C23"/>
    <w:rsid w:val="00684F83"/>
    <w:rsid w:val="00693766"/>
    <w:rsid w:val="006A3281"/>
    <w:rsid w:val="006B4888"/>
    <w:rsid w:val="006C2E45"/>
    <w:rsid w:val="006C359C"/>
    <w:rsid w:val="006C5579"/>
    <w:rsid w:val="006D6E8B"/>
    <w:rsid w:val="006E737D"/>
    <w:rsid w:val="007134FE"/>
    <w:rsid w:val="00713973"/>
    <w:rsid w:val="00720A24"/>
    <w:rsid w:val="00732386"/>
    <w:rsid w:val="0073514D"/>
    <w:rsid w:val="007447F3"/>
    <w:rsid w:val="00752C5E"/>
    <w:rsid w:val="0075499F"/>
    <w:rsid w:val="007661C8"/>
    <w:rsid w:val="00767714"/>
    <w:rsid w:val="0077098D"/>
    <w:rsid w:val="007803FF"/>
    <w:rsid w:val="00783190"/>
    <w:rsid w:val="007931FA"/>
    <w:rsid w:val="00796AC6"/>
    <w:rsid w:val="007A4861"/>
    <w:rsid w:val="007A7BBA"/>
    <w:rsid w:val="007B0C50"/>
    <w:rsid w:val="007B48F9"/>
    <w:rsid w:val="007B4B82"/>
    <w:rsid w:val="007B5CB3"/>
    <w:rsid w:val="007C1A43"/>
    <w:rsid w:val="007D0951"/>
    <w:rsid w:val="007D5755"/>
    <w:rsid w:val="007F6B1C"/>
    <w:rsid w:val="0080013E"/>
    <w:rsid w:val="00813288"/>
    <w:rsid w:val="008168FC"/>
    <w:rsid w:val="00817869"/>
    <w:rsid w:val="00830996"/>
    <w:rsid w:val="008345F1"/>
    <w:rsid w:val="00865B07"/>
    <w:rsid w:val="008667EA"/>
    <w:rsid w:val="00874D91"/>
    <w:rsid w:val="0087637F"/>
    <w:rsid w:val="00892AD5"/>
    <w:rsid w:val="008A1512"/>
    <w:rsid w:val="008D32B9"/>
    <w:rsid w:val="008D433B"/>
    <w:rsid w:val="008D4A16"/>
    <w:rsid w:val="008E566E"/>
    <w:rsid w:val="0090161A"/>
    <w:rsid w:val="00901EB6"/>
    <w:rsid w:val="00904C62"/>
    <w:rsid w:val="00922BA8"/>
    <w:rsid w:val="00924DAC"/>
    <w:rsid w:val="00927058"/>
    <w:rsid w:val="009404E8"/>
    <w:rsid w:val="00941A5D"/>
    <w:rsid w:val="00942750"/>
    <w:rsid w:val="009435CA"/>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2DFF"/>
    <w:rsid w:val="009A7D56"/>
    <w:rsid w:val="009B041A"/>
    <w:rsid w:val="009C04CB"/>
    <w:rsid w:val="009C37C3"/>
    <w:rsid w:val="009C7C86"/>
    <w:rsid w:val="009D0B23"/>
    <w:rsid w:val="009D2FF7"/>
    <w:rsid w:val="009E7884"/>
    <w:rsid w:val="009E788A"/>
    <w:rsid w:val="009F0E08"/>
    <w:rsid w:val="009F1339"/>
    <w:rsid w:val="009F34DD"/>
    <w:rsid w:val="00A1763D"/>
    <w:rsid w:val="00A17CEC"/>
    <w:rsid w:val="00A23A27"/>
    <w:rsid w:val="00A27EF0"/>
    <w:rsid w:val="00A30075"/>
    <w:rsid w:val="00A42361"/>
    <w:rsid w:val="00A50B20"/>
    <w:rsid w:val="00A51390"/>
    <w:rsid w:val="00A60D13"/>
    <w:rsid w:val="00A62137"/>
    <w:rsid w:val="00A7223D"/>
    <w:rsid w:val="00A72745"/>
    <w:rsid w:val="00A74E48"/>
    <w:rsid w:val="00A76EFC"/>
    <w:rsid w:val="00A85583"/>
    <w:rsid w:val="00A87D50"/>
    <w:rsid w:val="00A91010"/>
    <w:rsid w:val="00A97F29"/>
    <w:rsid w:val="00AA702E"/>
    <w:rsid w:val="00AA7D15"/>
    <w:rsid w:val="00AA7D26"/>
    <w:rsid w:val="00AB0964"/>
    <w:rsid w:val="00AB4A55"/>
    <w:rsid w:val="00AB5011"/>
    <w:rsid w:val="00AB5481"/>
    <w:rsid w:val="00AB61AB"/>
    <w:rsid w:val="00AC7368"/>
    <w:rsid w:val="00AD16B9"/>
    <w:rsid w:val="00AE377D"/>
    <w:rsid w:val="00AF0EBA"/>
    <w:rsid w:val="00B02C8A"/>
    <w:rsid w:val="00B17FBD"/>
    <w:rsid w:val="00B236AB"/>
    <w:rsid w:val="00B315A6"/>
    <w:rsid w:val="00B31813"/>
    <w:rsid w:val="00B33365"/>
    <w:rsid w:val="00B57B36"/>
    <w:rsid w:val="00B57E6F"/>
    <w:rsid w:val="00B67813"/>
    <w:rsid w:val="00B8686D"/>
    <w:rsid w:val="00B93F69"/>
    <w:rsid w:val="00BA1BF6"/>
    <w:rsid w:val="00BA22D2"/>
    <w:rsid w:val="00BB1DDC"/>
    <w:rsid w:val="00BB4908"/>
    <w:rsid w:val="00BC2D22"/>
    <w:rsid w:val="00BC30C9"/>
    <w:rsid w:val="00BD077D"/>
    <w:rsid w:val="00BE144A"/>
    <w:rsid w:val="00BE3E58"/>
    <w:rsid w:val="00C01616"/>
    <w:rsid w:val="00C0162B"/>
    <w:rsid w:val="00C068ED"/>
    <w:rsid w:val="00C22E0C"/>
    <w:rsid w:val="00C33F0A"/>
    <w:rsid w:val="00C345B1"/>
    <w:rsid w:val="00C40142"/>
    <w:rsid w:val="00C42B73"/>
    <w:rsid w:val="00C52C3C"/>
    <w:rsid w:val="00C57182"/>
    <w:rsid w:val="00C57863"/>
    <w:rsid w:val="00C640AF"/>
    <w:rsid w:val="00C655FD"/>
    <w:rsid w:val="00C75407"/>
    <w:rsid w:val="00C870A8"/>
    <w:rsid w:val="00C94434"/>
    <w:rsid w:val="00C95B3E"/>
    <w:rsid w:val="00CA0D75"/>
    <w:rsid w:val="00CA1C95"/>
    <w:rsid w:val="00CA5A9C"/>
    <w:rsid w:val="00CC4C20"/>
    <w:rsid w:val="00CD3517"/>
    <w:rsid w:val="00CD5FE2"/>
    <w:rsid w:val="00CE7C68"/>
    <w:rsid w:val="00D02B4C"/>
    <w:rsid w:val="00D040C4"/>
    <w:rsid w:val="00D14C77"/>
    <w:rsid w:val="00D20AD1"/>
    <w:rsid w:val="00D46B7E"/>
    <w:rsid w:val="00D57C84"/>
    <w:rsid w:val="00D6057D"/>
    <w:rsid w:val="00D7077B"/>
    <w:rsid w:val="00D71640"/>
    <w:rsid w:val="00D800CD"/>
    <w:rsid w:val="00D83622"/>
    <w:rsid w:val="00D836C5"/>
    <w:rsid w:val="00D84576"/>
    <w:rsid w:val="00DA1399"/>
    <w:rsid w:val="00DA24C6"/>
    <w:rsid w:val="00DA4D7B"/>
    <w:rsid w:val="00DD2397"/>
    <w:rsid w:val="00DD271C"/>
    <w:rsid w:val="00DE264A"/>
    <w:rsid w:val="00DF5072"/>
    <w:rsid w:val="00E02D18"/>
    <w:rsid w:val="00E041E7"/>
    <w:rsid w:val="00E23CA1"/>
    <w:rsid w:val="00E37390"/>
    <w:rsid w:val="00E409A8"/>
    <w:rsid w:val="00E4245D"/>
    <w:rsid w:val="00E457D6"/>
    <w:rsid w:val="00E502A9"/>
    <w:rsid w:val="00E50C12"/>
    <w:rsid w:val="00E65B91"/>
    <w:rsid w:val="00E7209D"/>
    <w:rsid w:val="00E72EAD"/>
    <w:rsid w:val="00E77223"/>
    <w:rsid w:val="00E84216"/>
    <w:rsid w:val="00E8528B"/>
    <w:rsid w:val="00E85B94"/>
    <w:rsid w:val="00E86FA9"/>
    <w:rsid w:val="00E978D0"/>
    <w:rsid w:val="00E97AC5"/>
    <w:rsid w:val="00EA4613"/>
    <w:rsid w:val="00EA570F"/>
    <w:rsid w:val="00EA7F91"/>
    <w:rsid w:val="00EB1523"/>
    <w:rsid w:val="00EC0E49"/>
    <w:rsid w:val="00EC101F"/>
    <w:rsid w:val="00EC1D9F"/>
    <w:rsid w:val="00ED2B43"/>
    <w:rsid w:val="00EE0131"/>
    <w:rsid w:val="00EE17B0"/>
    <w:rsid w:val="00EE4294"/>
    <w:rsid w:val="00EF06D9"/>
    <w:rsid w:val="00EF7722"/>
    <w:rsid w:val="00F1050D"/>
    <w:rsid w:val="00F3049E"/>
    <w:rsid w:val="00F30C64"/>
    <w:rsid w:val="00F31771"/>
    <w:rsid w:val="00F32BA2"/>
    <w:rsid w:val="00F32CDB"/>
    <w:rsid w:val="00F565FE"/>
    <w:rsid w:val="00F63A70"/>
    <w:rsid w:val="00F63D8C"/>
    <w:rsid w:val="00F7534E"/>
    <w:rsid w:val="00F76E55"/>
    <w:rsid w:val="00F843BA"/>
    <w:rsid w:val="00F93EDF"/>
    <w:rsid w:val="00F97DAD"/>
    <w:rsid w:val="00FA1802"/>
    <w:rsid w:val="00FA21D0"/>
    <w:rsid w:val="00FA28B6"/>
    <w:rsid w:val="00FA3ACC"/>
    <w:rsid w:val="00FA5F5F"/>
    <w:rsid w:val="00FB730C"/>
    <w:rsid w:val="00FC2695"/>
    <w:rsid w:val="00FC3E03"/>
    <w:rsid w:val="00FC3FC1"/>
    <w:rsid w:val="28C97D7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5D823"/>
  <w14:defaultImageDpi w14:val="330"/>
  <w15:docId w15:val="{4034C114-9A3F-4ED1-8297-E24B0F8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right" w:pos="7100"/>
      </w:tabs>
      <w:spacing w:line="264" w:lineRule="auto"/>
      <w:jc w:val="both"/>
    </w:pPr>
    <w:rPr>
      <w:rFonts w:ascii="Arial" w:eastAsia="Times New Roman" w:hAnsi="Arial" w:cs="Times New Roman"/>
      <w:sz w:val="18"/>
      <w:lang w:val="en-GB" w:eastAsia="en-US"/>
    </w:rPr>
  </w:style>
  <w:style w:type="paragraph" w:styleId="Heading1">
    <w:name w:val="heading 1"/>
    <w:basedOn w:val="CETHeading1"/>
    <w:next w:val="Normal"/>
    <w:link w:val="Heading1Char"/>
    <w:uiPriority w:val="9"/>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Heading1">
    <w:name w:val="CET Heading1"/>
    <w:next w:val="CETBodytext"/>
    <w:qFormat/>
    <w:pPr>
      <w:keepNext/>
      <w:numPr>
        <w:ilvl w:val="1"/>
        <w:numId w:val="1"/>
      </w:numPr>
      <w:tabs>
        <w:tab w:val="left" w:pos="360"/>
      </w:tabs>
      <w:suppressAutoHyphens/>
      <w:spacing w:before="240" w:after="120"/>
    </w:pPr>
    <w:rPr>
      <w:rFonts w:ascii="Arial" w:eastAsia="Times New Roman" w:hAnsi="Arial" w:cs="Times New Roman"/>
      <w:b/>
      <w:lang w:val="en-US"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cs="Times New Roman"/>
      <w:sz w:val="18"/>
      <w:lang w:val="en-US"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paragraph" w:styleId="BodyText2">
    <w:name w:val="Body Text 2"/>
    <w:basedOn w:val="Normal"/>
    <w:link w:val="BodyText2Char"/>
    <w:uiPriority w:val="99"/>
    <w:semiHidden/>
    <w:unhideWhenUsed/>
    <w:pPr>
      <w:spacing w:after="120" w:line="480" w:lineRule="auto"/>
    </w:pPr>
  </w:style>
  <w:style w:type="paragraph" w:styleId="BodyText3">
    <w:name w:val="Body Text 3"/>
    <w:basedOn w:val="Normal"/>
    <w:link w:val="BodyText3Char"/>
    <w:uiPriority w:val="99"/>
    <w:semiHidden/>
    <w:unhideWhenUsed/>
    <w:pPr>
      <w:spacing w:after="120"/>
    </w:pPr>
    <w:rPr>
      <w:sz w:val="16"/>
      <w:szCs w:val="16"/>
    </w:rPr>
  </w:style>
  <w:style w:type="paragraph" w:styleId="BodyTextFirstIndent">
    <w:name w:val="Body Text First Indent"/>
    <w:basedOn w:val="BodyText"/>
    <w:link w:val="BodyTextFirstIndentChar"/>
    <w:uiPriority w:val="99"/>
    <w:semiHidden/>
    <w:unhideWhenUsed/>
    <w:pPr>
      <w:spacing w:after="200"/>
      <w:ind w:firstLine="360"/>
    </w:pPr>
  </w:style>
  <w:style w:type="paragraph" w:styleId="BodyTextIndent">
    <w:name w:val="Body Text Indent"/>
    <w:basedOn w:val="Normal"/>
    <w:link w:val="BodyTextIndentChar"/>
    <w:uiPriority w:val="99"/>
    <w:semiHidden/>
    <w:unhideWhenUsed/>
    <w:pPr>
      <w:spacing w:after="120"/>
      <w:ind w:left="283"/>
    </w:pPr>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BodyTextIndent3">
    <w:name w:val="Body Text Indent 3"/>
    <w:basedOn w:val="Normal"/>
    <w:link w:val="BodyTextIndent3Char"/>
    <w:uiPriority w:val="99"/>
    <w:semiHidden/>
    <w:unhideWhenUsed/>
    <w:pPr>
      <w:spacing w:after="120"/>
      <w:ind w:left="283"/>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Cs w:val="18"/>
    </w:rPr>
  </w:style>
  <w:style w:type="paragraph" w:styleId="Closing">
    <w:name w:val="Closing"/>
    <w:basedOn w:val="Normal"/>
    <w:link w:val="ClosingChar"/>
    <w:uiPriority w:val="99"/>
    <w:semiHidden/>
    <w:unhideWhenUsed/>
    <w:pPr>
      <w:spacing w:line="240" w:lineRule="auto"/>
      <w:ind w:left="4252"/>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paragraph" w:styleId="CommentSubject">
    <w:name w:val="annotation subject"/>
    <w:basedOn w:val="CommentText"/>
    <w:next w:val="CommentText"/>
    <w:link w:val="CommentSubjectChar"/>
    <w:uiPriority w:val="99"/>
    <w:semiHidden/>
    <w:unhideWhenUsed/>
    <w:rPr>
      <w:b/>
      <w:bCs/>
    </w:rPr>
  </w:style>
  <w:style w:type="paragraph" w:styleId="Date">
    <w:name w:val="Date"/>
    <w:basedOn w:val="Normal"/>
    <w:next w:val="Normal"/>
    <w:link w:val="DateChar"/>
    <w:uiPriority w:val="99"/>
    <w:semiHidden/>
    <w:unhideWhenUsed/>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paragraph" w:styleId="E-mailSignature">
    <w:name w:val="E-mail Signature"/>
    <w:basedOn w:val="Normal"/>
    <w:link w:val="E-mailSignatureChar"/>
    <w:uiPriority w:val="99"/>
    <w:semiHidden/>
    <w:unhideWhenUsed/>
    <w:pPr>
      <w:spacing w:line="240" w:lineRule="auto"/>
    </w:pPr>
  </w:style>
  <w:style w:type="paragraph" w:styleId="EndnoteText">
    <w:name w:val="endnote text"/>
    <w:basedOn w:val="Normal"/>
    <w:link w:val="EndnoteTextChar"/>
    <w:uiPriority w:val="99"/>
    <w:semiHidden/>
    <w:unhideWhenUsed/>
    <w:pPr>
      <w:spacing w:line="240" w:lineRule="auto"/>
    </w:p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paragraph" w:styleId="Footer">
    <w:name w:val="footer"/>
    <w:basedOn w:val="Normal"/>
    <w:link w:val="FooterChar"/>
    <w:uiPriority w:val="99"/>
    <w:unhideWhenUsed/>
    <w:pPr>
      <w:tabs>
        <w:tab w:val="clear" w:pos="7100"/>
        <w:tab w:val="center" w:pos="4819"/>
        <w:tab w:val="right" w:pos="9638"/>
      </w:tabs>
      <w:spacing w:line="240" w:lineRule="auto"/>
    </w:pPr>
  </w:style>
  <w:style w:type="paragraph" w:styleId="FootnoteText">
    <w:name w:val="footnote text"/>
    <w:basedOn w:val="Normal"/>
    <w:link w:val="FootnoteTextChar"/>
    <w:uiPriority w:val="99"/>
    <w:semiHidden/>
    <w:unhideWhenUsed/>
    <w:pPr>
      <w:spacing w:line="240" w:lineRule="auto"/>
    </w:pPr>
  </w:style>
  <w:style w:type="paragraph" w:styleId="Header">
    <w:name w:val="header"/>
    <w:basedOn w:val="Normal"/>
    <w:link w:val="HeaderChar"/>
    <w:uiPriority w:val="99"/>
    <w:unhideWhenUsed/>
    <w:pPr>
      <w:tabs>
        <w:tab w:val="clear" w:pos="7100"/>
        <w:tab w:val="center" w:pos="4819"/>
        <w:tab w:val="right" w:pos="9638"/>
      </w:tabs>
      <w:spacing w:line="240" w:lineRule="auto"/>
    </w:pPr>
  </w:style>
  <w:style w:type="paragraph" w:styleId="HTMLAddress">
    <w:name w:val="HTML Address"/>
    <w:basedOn w:val="Normal"/>
    <w:link w:val="HTMLAddressChar"/>
    <w:uiPriority w:val="99"/>
    <w:semiHidden/>
    <w:unhideWhenUsed/>
    <w:pPr>
      <w:spacing w:line="240" w:lineRule="auto"/>
    </w:pPr>
    <w:rPr>
      <w:i/>
      <w:iCs/>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uiPriority w:val="99"/>
    <w:semiHidden/>
    <w:unhideWhenUsed/>
    <w:pPr>
      <w:spacing w:line="240" w:lineRule="auto"/>
      <w:ind w:left="220" w:hanging="220"/>
    </w:pPr>
  </w:style>
  <w:style w:type="paragraph" w:styleId="Index2">
    <w:name w:val="index 2"/>
    <w:basedOn w:val="Normal"/>
    <w:next w:val="Normal"/>
    <w:uiPriority w:val="99"/>
    <w:semiHidden/>
    <w:unhideWhenUsed/>
    <w:pPr>
      <w:spacing w:line="240" w:lineRule="auto"/>
      <w:ind w:left="440" w:hanging="220"/>
    </w:pPr>
  </w:style>
  <w:style w:type="paragraph" w:styleId="Index3">
    <w:name w:val="index 3"/>
    <w:basedOn w:val="Normal"/>
    <w:next w:val="Normal"/>
    <w:uiPriority w:val="99"/>
    <w:semiHidden/>
    <w:unhideWhenUsed/>
    <w:pPr>
      <w:spacing w:line="240" w:lineRule="auto"/>
      <w:ind w:left="660" w:hanging="220"/>
    </w:pPr>
  </w:style>
  <w:style w:type="paragraph" w:styleId="Index4">
    <w:name w:val="index 4"/>
    <w:basedOn w:val="Normal"/>
    <w:next w:val="Normal"/>
    <w:uiPriority w:val="99"/>
    <w:semiHidden/>
    <w:unhideWhenUsed/>
    <w:pPr>
      <w:spacing w:line="240" w:lineRule="auto"/>
      <w:ind w:left="880" w:hanging="220"/>
    </w:pPr>
  </w:style>
  <w:style w:type="paragraph" w:styleId="Index5">
    <w:name w:val="index 5"/>
    <w:basedOn w:val="Normal"/>
    <w:next w:val="Normal"/>
    <w:uiPriority w:val="99"/>
    <w:semiHidden/>
    <w:unhideWhenUsed/>
    <w:pPr>
      <w:spacing w:line="240" w:lineRule="auto"/>
      <w:ind w:left="1100" w:hanging="220"/>
    </w:pPr>
  </w:style>
  <w:style w:type="paragraph" w:styleId="Index6">
    <w:name w:val="index 6"/>
    <w:basedOn w:val="Normal"/>
    <w:next w:val="Normal"/>
    <w:uiPriority w:val="99"/>
    <w:semiHidden/>
    <w:unhideWhenUsed/>
    <w:pPr>
      <w:spacing w:line="240" w:lineRule="auto"/>
      <w:ind w:left="1320" w:hanging="220"/>
    </w:pPr>
  </w:style>
  <w:style w:type="paragraph" w:styleId="Index7">
    <w:name w:val="index 7"/>
    <w:basedOn w:val="Normal"/>
    <w:next w:val="Normal"/>
    <w:uiPriority w:val="99"/>
    <w:semiHidden/>
    <w:unhideWhenUsed/>
    <w:pPr>
      <w:spacing w:line="240" w:lineRule="auto"/>
      <w:ind w:left="1540" w:hanging="220"/>
    </w:pPr>
  </w:style>
  <w:style w:type="paragraph" w:styleId="Index8">
    <w:name w:val="index 8"/>
    <w:basedOn w:val="Normal"/>
    <w:next w:val="Normal"/>
    <w:uiPriority w:val="99"/>
    <w:semiHidden/>
    <w:unhideWhenUsed/>
    <w:pPr>
      <w:spacing w:line="240" w:lineRule="auto"/>
      <w:ind w:left="1760" w:hanging="220"/>
    </w:pPr>
  </w:style>
  <w:style w:type="paragraph" w:styleId="Index9">
    <w:name w:val="index 9"/>
    <w:basedOn w:val="Normal"/>
    <w:next w:val="Normal"/>
    <w:uiPriority w:val="99"/>
    <w:semiHidden/>
    <w:unhideWhenUsed/>
    <w:pPr>
      <w:spacing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ListNumber5">
    <w:name w:val="List Number 5"/>
    <w:basedOn w:val="Normal"/>
    <w:uiPriority w:val="99"/>
    <w:semiHidden/>
    <w:unhideWhenUsed/>
    <w:pPr>
      <w:numPr>
        <w:numId w:val="11"/>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semiHidden/>
    <w:unhideWhenUsed/>
    <w:rPr>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paragraph" w:styleId="Salutation">
    <w:name w:val="Salutation"/>
    <w:basedOn w:val="Normal"/>
    <w:next w:val="Normal"/>
    <w:link w:val="SalutationChar"/>
    <w:uiPriority w:val="99"/>
    <w:semiHidden/>
    <w:unhideWhenUsed/>
  </w:style>
  <w:style w:type="paragraph" w:styleId="Signature">
    <w:name w:val="Signature"/>
    <w:basedOn w:val="Normal"/>
    <w:link w:val="SignatureChar"/>
    <w:uiPriority w:val="99"/>
    <w:semiHidden/>
    <w:unhideWhenUsed/>
    <w:pPr>
      <w:spacing w:line="240" w:lineRule="auto"/>
      <w:ind w:left="4252"/>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Simple1">
    <w:name w:val="Table Simple 1"/>
    <w:basedOn w:val="TableNormal"/>
    <w:semiHidden/>
    <w:pPr>
      <w:numPr>
        <w:ilvl w:val="3"/>
        <w:numId w:val="1"/>
      </w:numPr>
      <w:spacing w:line="264" w:lineRule="auto"/>
      <w:jc w:val="both"/>
    </w:pPr>
    <w:rPr>
      <w:rFonts w:ascii="Times New Roman" w:eastAsia="Times New Roman" w:hAnsi="Times New Roman" w:cs="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20"/>
    </w:pPr>
  </w:style>
  <w:style w:type="paragraph" w:styleId="TOC3">
    <w:name w:val="toc 3"/>
    <w:basedOn w:val="Normal"/>
    <w:next w:val="Normal"/>
    <w:uiPriority w:val="39"/>
    <w:semiHidden/>
    <w:unhideWhenUsed/>
    <w:pPr>
      <w:spacing w:after="100"/>
      <w:ind w:left="440"/>
    </w:pPr>
  </w:style>
  <w:style w:type="paragraph" w:styleId="TOC4">
    <w:name w:val="toc 4"/>
    <w:basedOn w:val="Normal"/>
    <w:next w:val="Normal"/>
    <w:uiPriority w:val="39"/>
    <w:semiHidden/>
    <w:unhideWhenUsed/>
    <w:pPr>
      <w:spacing w:after="100"/>
      <w:ind w:left="660"/>
    </w:pPr>
  </w:style>
  <w:style w:type="paragraph" w:styleId="TOC5">
    <w:name w:val="toc 5"/>
    <w:basedOn w:val="Normal"/>
    <w:next w:val="Normal"/>
    <w:uiPriority w:val="39"/>
    <w:semiHidden/>
    <w:unhideWhenUsed/>
    <w:pPr>
      <w:spacing w:after="100"/>
      <w:ind w:left="880"/>
    </w:pPr>
  </w:style>
  <w:style w:type="paragraph" w:styleId="TOC6">
    <w:name w:val="toc 6"/>
    <w:basedOn w:val="Normal"/>
    <w:next w:val="Normal"/>
    <w:uiPriority w:val="39"/>
    <w:semiHidden/>
    <w:unhideWhenUsed/>
    <w:pPr>
      <w:spacing w:after="100"/>
      <w:ind w:left="1100"/>
    </w:pPr>
  </w:style>
  <w:style w:type="paragraph" w:styleId="TOC7">
    <w:name w:val="toc 7"/>
    <w:basedOn w:val="Normal"/>
    <w:next w:val="Normal"/>
    <w:uiPriority w:val="39"/>
    <w:semiHidden/>
    <w:unhideWhenUsed/>
    <w:pPr>
      <w:spacing w:after="100"/>
      <w:ind w:left="1320"/>
    </w:pPr>
  </w:style>
  <w:style w:type="paragraph" w:styleId="TOC8">
    <w:name w:val="toc 8"/>
    <w:basedOn w:val="Normal"/>
    <w:next w:val="Normal"/>
    <w:uiPriority w:val="39"/>
    <w:semiHidden/>
    <w:unhideWhenUsed/>
    <w:pPr>
      <w:spacing w:after="100"/>
      <w:ind w:left="1540"/>
    </w:pPr>
  </w:style>
  <w:style w:type="paragraph" w:styleId="TOC9">
    <w:name w:val="toc 9"/>
    <w:basedOn w:val="Normal"/>
    <w:next w:val="Normal"/>
    <w:uiPriority w:val="39"/>
    <w:semiHidden/>
    <w:unhideWhenUsed/>
    <w:pPr>
      <w:spacing w:after="100"/>
      <w:ind w:left="1760"/>
    </w:pPr>
  </w:style>
  <w:style w:type="paragraph" w:customStyle="1" w:styleId="CETAuthors">
    <w:name w:val="CET Authors"/>
    <w:basedOn w:val="CETBodytext"/>
    <w:link w:val="CETAuthorsCarattere"/>
    <w:qFormat/>
    <w:pPr>
      <w:keepNext/>
      <w:suppressAutoHyphens/>
      <w:spacing w:after="120"/>
    </w:pPr>
    <w:rPr>
      <w:sz w:val="24"/>
      <w:lang w:val="en-GB"/>
    </w:rPr>
  </w:style>
  <w:style w:type="paragraph" w:customStyle="1" w:styleId="CETTitle">
    <w:name w:val="CET Title"/>
    <w:next w:val="CETAuthors"/>
    <w:link w:val="CETTitleCarattere"/>
    <w:pPr>
      <w:suppressAutoHyphens/>
      <w:spacing w:before="480" w:after="120" w:line="264" w:lineRule="auto"/>
      <w:jc w:val="center"/>
      <w:outlineLvl w:val="0"/>
    </w:pPr>
    <w:rPr>
      <w:rFonts w:ascii="Arial" w:eastAsia="Times New Roman" w:hAnsi="Arial" w:cs="Times New Roman"/>
      <w:sz w:val="32"/>
      <w:lang w:val="en-GB" w:eastAsia="en-US"/>
    </w:rPr>
  </w:style>
  <w:style w:type="character" w:customStyle="1" w:styleId="CETAuthorsCarattere">
    <w:name w:val="CET Authors Carattere"/>
    <w:link w:val="CETAuthors"/>
    <w:rPr>
      <w:rFonts w:ascii="Arial" w:eastAsia="Times New Roman" w:hAnsi="Arial" w:cs="Times New Roman"/>
      <w:sz w:val="24"/>
      <w:szCs w:val="20"/>
      <w:lang w:val="en-GB"/>
    </w:rPr>
  </w:style>
  <w:style w:type="character" w:customStyle="1" w:styleId="CETTitleCarattere">
    <w:name w:val="CET Title Carattere"/>
    <w:link w:val="CETTitle"/>
    <w:rPr>
      <w:rFonts w:ascii="Arial" w:eastAsia="Times New Roman" w:hAnsi="Arial" w:cs="Times New Roman"/>
      <w:sz w:val="32"/>
      <w:szCs w:val="20"/>
      <w:lang w:val="en-GB"/>
    </w:rPr>
  </w:style>
  <w:style w:type="paragraph" w:customStyle="1" w:styleId="CETheadingx">
    <w:name w:val="CET headingx"/>
    <w:next w:val="CETBodytext"/>
    <w:link w:val="CETheadingxCarattere"/>
    <w:qFormat/>
    <w:pPr>
      <w:keepNext/>
      <w:numPr>
        <w:ilvl w:val="2"/>
        <w:numId w:val="1"/>
      </w:numPr>
      <w:suppressAutoHyphens/>
      <w:spacing w:before="120" w:after="120"/>
    </w:pPr>
    <w:rPr>
      <w:rFonts w:ascii="Arial" w:eastAsia="Times New Roman" w:hAnsi="Arial" w:cs="Times New Roman"/>
      <w:b/>
      <w:sz w:val="18"/>
      <w:lang w:val="en-US" w:eastAsia="en-US"/>
    </w:rPr>
  </w:style>
  <w:style w:type="paragraph" w:customStyle="1" w:styleId="CETAddress">
    <w:name w:val="CET Address"/>
    <w:link w:val="CETAddressCarattere"/>
    <w:qFormat/>
    <w:pPr>
      <w:keepNext/>
      <w:suppressAutoHyphens/>
      <w:spacing w:line="276" w:lineRule="auto"/>
      <w:contextualSpacing/>
    </w:pPr>
    <w:rPr>
      <w:rFonts w:ascii="Arial" w:eastAsia="Times New Roman" w:hAnsi="Arial" w:cs="Times New Roman"/>
      <w:sz w:val="16"/>
      <w:lang w:val="en-GB" w:eastAsia="en-US"/>
    </w:rPr>
  </w:style>
  <w:style w:type="character" w:customStyle="1" w:styleId="CETBodytextCarattere">
    <w:name w:val="CET Body text Carattere"/>
    <w:link w:val="CETBodytext"/>
    <w:rPr>
      <w:rFonts w:ascii="Arial" w:eastAsia="Times New Roman" w:hAnsi="Arial" w:cs="Times New Roman"/>
      <w:sz w:val="18"/>
      <w:szCs w:val="20"/>
      <w:lang w:val="en-US"/>
    </w:rPr>
  </w:style>
  <w:style w:type="paragraph" w:customStyle="1" w:styleId="CETReference">
    <w:name w:val="CET Reference"/>
    <w:qFormat/>
    <w:pPr>
      <w:spacing w:before="200" w:after="120"/>
    </w:pPr>
    <w:rPr>
      <w:rFonts w:ascii="Arial" w:eastAsia="Times New Roman" w:hAnsi="Arial" w:cs="Times New Roman"/>
      <w:b/>
      <w:sz w:val="18"/>
      <w:lang w:val="en-GB" w:eastAsia="en-US"/>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lang w:val="en-GB" w:eastAsia="en-US"/>
    </w:rPr>
  </w:style>
  <w:style w:type="character" w:customStyle="1" w:styleId="CETheadingxCarattere">
    <w:name w:val="CET headingx Carattere"/>
    <w:link w:val="CETheadingx"/>
    <w:rPr>
      <w:rFonts w:ascii="Arial" w:eastAsia="Times New Roman" w:hAnsi="Arial" w:cs="Times New Roman"/>
      <w:b/>
      <w:sz w:val="18"/>
      <w:szCs w:val="20"/>
      <w:lang w:val="en-US"/>
    </w:rPr>
  </w:style>
  <w:style w:type="character" w:customStyle="1" w:styleId="CETCaptionCarattere">
    <w:name w:val="CET Caption Carattere"/>
    <w:link w:val="CETCaption"/>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ibliography1">
    <w:name w:val="Bibliography1"/>
    <w:basedOn w:val="CETReferencetext"/>
    <w:uiPriority w:val="37"/>
    <w:unhideWhenUsed/>
    <w:pPr>
      <w:spacing w:line="240" w:lineRule="auto"/>
      <w:ind w:left="720" w:hanging="720"/>
    </w:pPr>
  </w:style>
  <w:style w:type="paragraph" w:customStyle="1" w:styleId="CETReferencetext">
    <w:name w:val="CET Reference text"/>
    <w:qFormat/>
    <w:pPr>
      <w:spacing w:line="264" w:lineRule="auto"/>
      <w:ind w:left="284" w:hanging="284"/>
      <w:jc w:val="both"/>
    </w:pPr>
    <w:rPr>
      <w:rFonts w:ascii="Arial" w:eastAsia="Times New Roman" w:hAnsi="Arial" w:cs="Times New Roman"/>
      <w:sz w:val="18"/>
      <w:lang w:val="en-GB" w:eastAsia="en-US"/>
    </w:rPr>
  </w:style>
  <w:style w:type="character" w:customStyle="1" w:styleId="BodyText2Char">
    <w:name w:val="Body Text 2 Char"/>
    <w:basedOn w:val="DefaultParagraphFont"/>
    <w:link w:val="BodyText2"/>
    <w:uiPriority w:val="99"/>
    <w:semiHidden/>
  </w:style>
  <w:style w:type="character" w:customStyle="1" w:styleId="BodyText3Char">
    <w:name w:val="Body Text 3 Char"/>
    <w:basedOn w:val="DefaultParagraphFont"/>
    <w:link w:val="BodyText3"/>
    <w:uiPriority w:val="99"/>
    <w:semiHidden/>
    <w:rPr>
      <w:sz w:val="16"/>
      <w:szCs w:val="16"/>
    </w:rPr>
  </w:style>
  <w:style w:type="character" w:customStyle="1" w:styleId="BodyTextChar">
    <w:name w:val="Body Text Char"/>
    <w:basedOn w:val="DefaultParagraphFont"/>
    <w:link w:val="BodyText"/>
    <w:uiPriority w:val="99"/>
    <w:semiHidden/>
  </w:style>
  <w:style w:type="character" w:customStyle="1" w:styleId="DateChar">
    <w:name w:val="Date Char"/>
    <w:basedOn w:val="DefaultParagraphFont"/>
    <w:link w:val="Date"/>
    <w:uiPriority w:val="99"/>
    <w:semiHidden/>
  </w:style>
  <w:style w:type="character" w:customStyle="1" w:styleId="SignatureChar">
    <w:name w:val="Signature Char"/>
    <w:basedOn w:val="DefaultParagraphFont"/>
    <w:link w:val="Signature"/>
    <w:uiPriority w:val="99"/>
    <w:semiHidden/>
  </w:style>
  <w:style w:type="character" w:customStyle="1" w:styleId="E-mailSignatureChar">
    <w:name w:val="E-mail Signature Char"/>
    <w:basedOn w:val="DefaultParagraphFont"/>
    <w:link w:val="E-mailSignature"/>
    <w:uiPriority w:val="99"/>
    <w:semiHidden/>
  </w:style>
  <w:style w:type="character" w:customStyle="1" w:styleId="SalutationChar">
    <w:name w:val="Salutation Char"/>
    <w:basedOn w:val="DefaultParagraphFont"/>
    <w:link w:val="Salutation"/>
    <w:uiPriority w:val="99"/>
    <w:semiHidden/>
  </w:style>
  <w:style w:type="character" w:customStyle="1" w:styleId="ClosingChar">
    <w:name w:val="Closing Char"/>
    <w:basedOn w:val="DefaultParagraphFont"/>
    <w:link w:val="Closing"/>
    <w:uiPriority w:val="99"/>
    <w:semiHidden/>
  </w:style>
  <w:style w:type="character" w:customStyle="1" w:styleId="HTMLAddressChar">
    <w:name w:val="HTML Address Char"/>
    <w:basedOn w:val="DefaultParagraphFont"/>
    <w:link w:val="HTMLAddress"/>
    <w:uiPriority w:val="99"/>
    <w:semiHidden/>
    <w:rPr>
      <w:i/>
      <w:iCs/>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uiPriority w:val="99"/>
    <w:semiHidden/>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customStyle="1" w:styleId="BodyTextFirstIndentChar">
    <w:name w:val="Body Text First Indent Char"/>
    <w:basedOn w:val="BodyTextChar"/>
    <w:link w:val="BodyTextFirstIndent"/>
    <w:uiPriority w:val="99"/>
    <w:semiHidden/>
  </w:style>
  <w:style w:type="character" w:customStyle="1" w:styleId="BodyTextIndentChar">
    <w:name w:val="Body Text Indent Char"/>
    <w:basedOn w:val="DefaultParagraphFont"/>
    <w:link w:val="BodyTextIndent"/>
    <w:uiPriority w:val="99"/>
    <w:semiHidden/>
  </w:style>
  <w:style w:type="character" w:customStyle="1" w:styleId="BodyTextFirstIndent2Char">
    <w:name w:val="Body Text First Indent 2 Char"/>
    <w:basedOn w:val="BodyTextIndentChar"/>
    <w:link w:val="BodyTextFirstIndent2"/>
    <w:uiPriority w:val="99"/>
    <w:semiHidden/>
  </w:style>
  <w:style w:type="character" w:customStyle="1" w:styleId="BodyTextIndent2Char">
    <w:name w:val="Body Text Indent 2 Char"/>
    <w:basedOn w:val="DefaultParagraphFont"/>
    <w:link w:val="BodyTextIndent2"/>
    <w:uiPriority w:val="99"/>
    <w:semiHidden/>
  </w:style>
  <w:style w:type="character" w:customStyle="1" w:styleId="BodyTextIndent3Char">
    <w:name w:val="Body Text Indent 3 Char"/>
    <w:basedOn w:val="DefaultParagraphFont"/>
    <w:link w:val="BodyTextIndent3"/>
    <w:uiPriority w:val="99"/>
    <w:semiHidden/>
    <w:rPr>
      <w:sz w:val="16"/>
      <w:szCs w:val="16"/>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customStyle="1" w:styleId="FootnoteTextChar">
    <w:name w:val="Footnote Text Char"/>
    <w:basedOn w:val="DefaultParagraphFont"/>
    <w:link w:val="FootnoteText"/>
    <w:uiPriority w:val="99"/>
    <w:semiHidden/>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TOCHeading1">
    <w:name w:val="TOC Heading1"/>
    <w:basedOn w:val="Heading1"/>
    <w:next w:val="Normal"/>
    <w:uiPriority w:val="39"/>
    <w:semiHidden/>
    <w:unhideWhenUsed/>
    <w:qFormat/>
    <w:pPr>
      <w:outlineLvl w:val="9"/>
    </w:pPr>
  </w:style>
  <w:style w:type="paragraph" w:customStyle="1" w:styleId="CETemail">
    <w:name w:val="CET email"/>
    <w:next w:val="CETBodytext"/>
    <w:pPr>
      <w:spacing w:after="240" w:line="276" w:lineRule="auto"/>
    </w:pPr>
    <w:rPr>
      <w:rFonts w:ascii="Arial" w:eastAsia="Times New Roman" w:hAnsi="Arial" w:cs="Times New Roman"/>
      <w:sz w:val="16"/>
      <w:lang w:val="en-GB" w:eastAsia="en-US"/>
    </w:rPr>
  </w:style>
  <w:style w:type="character" w:customStyle="1" w:styleId="CETAddressCarattere">
    <w:name w:val="CET Address Carattere"/>
    <w:basedOn w:val="DefaultParagraphFont"/>
    <w:link w:val="CETAddress"/>
    <w:rPr>
      <w:rFonts w:ascii="Arial" w:eastAsia="Times New Roman" w:hAnsi="Arial" w:cs="Times New Roman"/>
      <w:sz w:val="16"/>
      <w:szCs w:val="20"/>
      <w:lang w:val="en-GB"/>
    </w:rPr>
  </w:style>
  <w:style w:type="paragraph" w:customStyle="1" w:styleId="CETBodytextBold">
    <w:name w:val="CET Body text (Bold)"/>
    <w:basedOn w:val="CETBodytext"/>
    <w:rPr>
      <w:b/>
    </w:rPr>
  </w:style>
  <w:style w:type="paragraph" w:customStyle="1" w:styleId="CETnumberingbullets">
    <w:name w:val="CET numbering (bullets)"/>
    <w:pPr>
      <w:numPr>
        <w:numId w:val="12"/>
      </w:numPr>
      <w:spacing w:line="264" w:lineRule="auto"/>
    </w:pPr>
    <w:rPr>
      <w:rFonts w:ascii="Arial" w:eastAsia="Times New Roman" w:hAnsi="Arial" w:cs="Times New Roman"/>
      <w:sz w:val="18"/>
      <w:lang w:val="en-GB" w:eastAsia="en-US"/>
    </w:rPr>
  </w:style>
  <w:style w:type="paragraph" w:customStyle="1" w:styleId="CETnumbering1">
    <w:name w:val="CET numbering (1"/>
    <w:pPr>
      <w:numPr>
        <w:numId w:val="13"/>
      </w:numPr>
      <w:spacing w:line="264" w:lineRule="auto"/>
      <w:ind w:left="340" w:hanging="227"/>
    </w:pPr>
    <w:rPr>
      <w:rFonts w:ascii="Arial" w:eastAsia="Times New Roman" w:hAnsi="Arial" w:cs="Times New Roman"/>
      <w:sz w:val="18"/>
      <w:lang w:val="en-US" w:eastAsia="en-US"/>
    </w:rPr>
  </w:style>
  <w:style w:type="paragraph" w:customStyle="1" w:styleId="CETnumberinga">
    <w:name w:val="CET numbering (a"/>
    <w:pPr>
      <w:numPr>
        <w:numId w:val="14"/>
      </w:numPr>
      <w:spacing w:line="264" w:lineRule="auto"/>
    </w:pPr>
    <w:rPr>
      <w:rFonts w:ascii="Arial" w:eastAsia="Times New Roman" w:hAnsi="Arial" w:cs="Times New Roman"/>
      <w:sz w:val="18"/>
      <w:lang w:val="en-GB" w:eastAsia="en-US"/>
    </w:rPr>
  </w:style>
  <w:style w:type="character" w:customStyle="1" w:styleId="HeaderChar">
    <w:name w:val="Header Char"/>
    <w:basedOn w:val="DefaultParagraphFont"/>
    <w:link w:val="Header"/>
    <w:uiPriority w:val="99"/>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rPr>
      <w:rFonts w:ascii="Arial" w:eastAsia="Times New Roman" w:hAnsi="Arial" w:cs="Times New Roman"/>
      <w:sz w:val="18"/>
      <w:szCs w:val="20"/>
      <w:lang w:val="en-GB"/>
    </w:rPr>
  </w:style>
  <w:style w:type="character" w:customStyle="1" w:styleId="eudoraheader">
    <w:name w:val="eudoraheader"/>
    <w:basedOn w:val="DefaultParagraphFont"/>
  </w:style>
  <w:style w:type="paragraph" w:customStyle="1" w:styleId="CETListbullets">
    <w:name w:val="CET List bullets"/>
    <w:qFormat/>
    <w:pPr>
      <w:spacing w:line="264" w:lineRule="auto"/>
      <w:ind w:left="340" w:hanging="227"/>
      <w:jc w:val="both"/>
    </w:pPr>
    <w:rPr>
      <w:rFonts w:ascii="Arial" w:eastAsia="Times New Roman" w:hAnsi="Arial" w:cs="Times New Roman"/>
      <w:sz w:val="18"/>
      <w:lang w:val="en-GB" w:eastAsia="en-US"/>
    </w:rPr>
  </w:style>
  <w:style w:type="paragraph" w:customStyle="1" w:styleId="CETTabletitle">
    <w:name w:val="CET Table title"/>
    <w:qFormat/>
    <w:pPr>
      <w:keepNext/>
      <w:spacing w:before="240" w:after="80" w:line="240" w:lineRule="exact"/>
    </w:pPr>
    <w:rPr>
      <w:rFonts w:ascii="Arial" w:eastAsia="Times New Roman" w:hAnsi="Arial" w:cs="Times New Roman"/>
      <w:i/>
      <w:sz w:val="18"/>
      <w:lang w:val="en-GB" w:eastAsia="en-US"/>
    </w:rPr>
  </w:style>
  <w:style w:type="paragraph" w:customStyle="1" w:styleId="CETAcknowledgementstitle">
    <w:name w:val="CET Acknowledgements title"/>
    <w:next w:val="CETBodytext"/>
    <w:qFormat/>
    <w:pPr>
      <w:spacing w:before="200" w:after="120" w:line="276" w:lineRule="auto"/>
    </w:pPr>
    <w:rPr>
      <w:rFonts w:ascii="Arial" w:eastAsia="Times New Roman" w:hAnsi="Arial" w:cs="Times New Roman"/>
      <w:b/>
      <w:sz w:val="18"/>
      <w:lang w:val="en-GB" w:eastAsia="en-US"/>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pPr>
      <w:numPr>
        <w:ilvl w:val="0"/>
        <w:numId w:val="0"/>
      </w:numPr>
    </w:pPr>
  </w:style>
  <w:style w:type="character" w:customStyle="1" w:styleId="CETHeadingxxChar">
    <w:name w:val="CET Headingxx Char"/>
    <w:basedOn w:val="CETheadingxCarattere"/>
    <w:link w:val="CETHeadingxx"/>
    <w:rPr>
      <w:rFonts w:ascii="Arial" w:eastAsia="Times New Roman" w:hAnsi="Arial" w:cs="Times New Roman"/>
      <w:b/>
      <w:sz w:val="18"/>
      <w:szCs w:val="20"/>
      <w:lang w:val="en-US"/>
    </w:rPr>
  </w:style>
  <w:style w:type="paragraph" w:styleId="ListParagraph">
    <w:name w:val="List Paragraph"/>
    <w:basedOn w:val="Normal"/>
    <w:uiPriority w:val="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BFF6-926B-4842-83F8-4202D700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10156</Words>
  <Characters>56875</Characters>
  <Application>Microsoft Office Word</Application>
  <DocSecurity>0</DocSecurity>
  <Lines>1579</Lines>
  <Paragraphs>1155</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65876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Bimal Das</cp:lastModifiedBy>
  <cp:revision>7</cp:revision>
  <cp:lastPrinted>2015-05-12T18:31:00Z</cp:lastPrinted>
  <dcterms:created xsi:type="dcterms:W3CDTF">2023-03-30T06:07:00Z</dcterms:created>
  <dcterms:modified xsi:type="dcterms:W3CDTF">2023-03-30T14:41:00Z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http://www.zotero.org/styles/harvard1</vt:lpwstr>
  </property>
  <property fmtid="{D5CDD505-2E9C-101B-9397-08002B2CF9AE}" pid="6" name="Mendeley Unique User Id_1">
    <vt:lpwstr>8b658dc5-dc2c-3843-978a-0f1943fc714d</vt:lpwstr>
  </property>
  <property fmtid="{D5CDD505-2E9C-101B-9397-08002B2CF9AE}" pid="7" name="Mendeley Recent Style Id 0_1">
    <vt:lpwstr>http://www.zotero.org/styles/american-sociological-association</vt:lpwstr>
  </property>
  <property fmtid="{D5CDD505-2E9C-101B-9397-08002B2CF9AE}" pid="8" name="Mendeley Recent Style Name 0_1">
    <vt:lpwstr>American Sociological Association</vt:lpwstr>
  </property>
  <property fmtid="{D5CDD505-2E9C-101B-9397-08002B2CF9AE}" pid="9" name="Mendeley Recent Style Id 1_1">
    <vt:lpwstr>http://www.zotero.org/styles/chicago-author-date</vt:lpwstr>
  </property>
  <property fmtid="{D5CDD505-2E9C-101B-9397-08002B2CF9AE}" pid="10" name="Mendeley Recent Style Name 1_1">
    <vt:lpwstr>Chicago Manual of Style 17th edition (author-date)</vt:lpwstr>
  </property>
  <property fmtid="{D5CDD505-2E9C-101B-9397-08002B2CF9AE}" pid="11" name="Mendeley Recent Style Id 2_1">
    <vt:lpwstr>http://www.zotero.org/styles/harvard-cite-them-right</vt:lpwstr>
  </property>
  <property fmtid="{D5CDD505-2E9C-101B-9397-08002B2CF9AE}" pid="12" name="Mendeley Recent Style Name 2_1">
    <vt:lpwstr>Cite Them Right 10th edition - Harvard</vt:lpwstr>
  </property>
  <property fmtid="{D5CDD505-2E9C-101B-9397-08002B2CF9AE}" pid="13" name="Mendeley Recent Style Id 3_1">
    <vt:lpwstr>http://www.zotero.org/styles/clean-technologies-and-environmental-policy</vt:lpwstr>
  </property>
  <property fmtid="{D5CDD505-2E9C-101B-9397-08002B2CF9AE}" pid="14" name="Mendeley Recent Style Name 3_1">
    <vt:lpwstr>Clean Technologies and Environmental Policy</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(deprecated)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http://www.zotero.org/styles/journal-of-material-cycles-and-waste-management</vt:lpwstr>
  </property>
  <property fmtid="{D5CDD505-2E9C-101B-9397-08002B2CF9AE}" pid="20" name="Mendeley Recent Style Name 6_1">
    <vt:lpwstr>Journal of Material Cycles and Waste Management</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http://www.zotero.org/styles/nuclear-engineering-and-design</vt:lpwstr>
  </property>
  <property fmtid="{D5CDD505-2E9C-101B-9397-08002B2CF9AE}" pid="26" name="Mendeley Recent Style Name 9_1">
    <vt:lpwstr>Nuclear Engineering and Design</vt:lpwstr>
  </property>
  <property fmtid="{D5CDD505-2E9C-101B-9397-08002B2CF9AE}" pid="27" name="KSOProductBuildVer">
    <vt:lpwstr>1033-11.2.0.11513</vt:lpwstr>
  </property>
  <property fmtid="{D5CDD505-2E9C-101B-9397-08002B2CF9AE}" pid="28" name="ICV">
    <vt:lpwstr>75FD03F24FDE4D69891906C7D602B949</vt:lpwstr>
  </property>
  <property fmtid="{D5CDD505-2E9C-101B-9397-08002B2CF9AE}" pid="29" name="GrammarlyDocumentId">
    <vt:lpwstr>3df3141125504a672c3d7918a429219323431418b43048c863005085aa251740</vt:lpwstr>
  </property>
</Properties>
</file>